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Tong Victor Edward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AARDVARK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4370 LA JOLLA VILLAGE DRIVE, SUITE 1050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Aardvark Therapeutics, Inc.</w:t>
              </w:r>
            </w:hyperlink>
            <w:r>
              <w:rPr/>
              <w:t xml:space="preserve"> [ </w:t>
            </w:r>
            <w:r>
              <w:rPr>
                <w:rFonts w:ascii="Times;serif" w:hAnsi="Times;serif"/>
                <w:color w:val="0000FF"/>
                <w:sz w:val="24"/>
                <w:shd w:fill="FFFFFF" w:val="clear"/>
              </w:rPr>
              <w:t>AARD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6.54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44,964</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44,964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44,964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shall vest in full on the earlier of (i) August 14, 2027, and (ii) immediately prior to the Registrant's next Annual Meeting of Stockholders following the date of grant, subject to the Reporting Person's continuous service through the applicable vesting date, inclusive.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Nelson Sun,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07923" TargetMode="External"/><Relationship Id="rId5" Type="http://schemas.openxmlformats.org/officeDocument/2006/relationships/hyperlink" Target="http://www.sec.gov/cgi-bin/browse-edgar?action=getcompany&amp;CIK=00017748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623</Words>
  <Characters>3388</Characters>
  <CharactersWithSpaces>3940</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