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ck0001774857-20260630.htm"/>
      <w:bookmarkStart w:id="1" w:name="ksck0001774857202606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ind w:left="4320" w:right="4320" w:hanging="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ind w:left="4320" w:right="4320" w:hanging="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p>
            <w:pPr>
              <w:pStyle w:val="TableContents"/>
              <w:bidi w:val="0"/>
              <w:spacing w:before="60" w:after="283"/>
              <w:ind w:left="2880" w:right="0" w:hanging="0"/>
              <w:jc w:val="left"/>
              <w:rPr/>
            </w:pPr>
            <w:r>
              <w:rPr>
                <w:color w:val="000000"/>
              </w:rPr>
              <w:t>      </w:t>
            </w:r>
            <w:r>
              <w:rPr>
                <w:rFonts w:ascii="Times New Roman" w:hAnsi="Times New Roman"/>
                <w:b/>
                <w:color w:val="000000"/>
                <w:sz w:val="18"/>
              </w:rPr>
              <w:t xml:space="preserve">For the transition period from </w:t>
            </w:r>
            <w:r>
              <w:rPr>
                <w:rFonts w:ascii="Times New Roman" w:hAnsi="Times New Roman"/>
                <w:color w:val="000000"/>
                <w:sz w:val="18"/>
              </w:rPr>
              <w:t>  </w:t>
            </w:r>
            <w:r>
              <w:rPr>
                <w:rFonts w:ascii="Times New Roman" w:hAnsi="Times New Roman"/>
                <w:b/>
                <w:color w:val="000000"/>
                <w:sz w:val="18"/>
              </w:rPr>
              <w:t>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001-42513</w:t>
      </w:r>
    </w:p>
    <w:p>
      <w:pPr>
        <w:pStyle w:val="TextBody"/>
        <w:pBdr>
          <w:bottom w:val="single" w:sz="8" w:space="1" w:color="000000"/>
        </w:pBdr>
        <w:bidi w:val="0"/>
        <w:ind w:left="4320" w:right="4320" w:hanging="0"/>
        <w:jc w:val="center"/>
        <w:rPr/>
      </w:pPr>
      <w:r>
        <w:rPr/>
        <w:t> </w:t>
      </w:r>
    </w:p>
    <w:p>
      <w:pPr>
        <w:pStyle w:val="TextBody"/>
        <w:bidi w:val="0"/>
        <w:jc w:val="center"/>
        <w:rPr>
          <w:rFonts w:ascii="Times New Roman" w:hAnsi="Times New Roman"/>
          <w:sz w:val="20"/>
        </w:rPr>
      </w:pPr>
      <w:r>
        <w:rPr>
          <w:rFonts w:ascii="Times New Roman" w:hAnsi="Times New Roman"/>
          <w:b/>
          <w:color w:val="000000"/>
          <w:sz w:val="40"/>
        </w:rPr>
        <w:t>AARDVARK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ind w:left="4320" w:right="4320" w:hanging="0"/>
        <w:jc w:val="center"/>
        <w:rPr/>
      </w:pPr>
      <w:r>
        <w:rPr/>
        <w:t> </w:t>
      </w:r>
    </w:p>
    <w:tbl>
      <w:tblPr>
        <w:tblW w:w="4757" w:type="dxa"/>
        <w:jc w:val="left"/>
        <w:tblInd w:w="0" w:type="dxa"/>
        <w:tblLayout w:type="fixed"/>
        <w:tblCellMar>
          <w:top w:w="28" w:type="dxa"/>
          <w:left w:w="28" w:type="dxa"/>
          <w:bottom w:w="28" w:type="dxa"/>
          <w:right w:w="28" w:type="dxa"/>
        </w:tblCellMar>
      </w:tblPr>
      <w:tblGrid>
        <w:gridCol w:w="3511"/>
        <w:gridCol w:w="1246"/>
      </w:tblGrid>
      <w:tr>
        <w:trPr/>
        <w:tc>
          <w:tcPr>
            <w:tcW w:w="35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82-1606367</w:t>
            </w:r>
          </w:p>
        </w:tc>
      </w:tr>
      <w:tr>
        <w:trPr/>
        <w:tc>
          <w:tcPr>
            <w:tcW w:w="3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51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4370 La Jolla Village Drive, Suite 1050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92122</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(858) 225-7696</w:t>
      </w:r>
    </w:p>
    <w:p>
      <w:pPr>
        <w:pStyle w:val="TextBody"/>
        <w:pBdr>
          <w:bottom w:val="single" w:sz="8" w:space="1" w:color="000000"/>
        </w:pBdr>
        <w:bidi w:val="0"/>
        <w:ind w:left="4320" w:right="4320" w:hanging="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3451"/>
        <w:gridCol w:w="146"/>
        <w:gridCol w:w="826"/>
        <w:gridCol w:w="146"/>
        <w:gridCol w:w="3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AARD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w:t>
      </w:r>
      <w:r>
        <w:rPr>
          <w:rFonts w:ascii="Times New Roman" w:hAnsi="Times New Roman"/>
          <w:caps/>
          <w:color w:val="000000"/>
          <w:sz w:val="18"/>
        </w:rPr>
        <w:t>o</w:t>
      </w:r>
      <w:r>
        <w:rPr>
          <w:rFonts w:ascii="Times New Roman" w:hAnsi="Times New Roman"/>
          <w:color w:val="000000"/>
          <w:sz w:val="20"/>
        </w:rPr>
        <w:t xml:space="preserve"> ☐</w:t>
      </w:r>
    </w:p>
    <w:p>
      <w:pPr>
        <w:pStyle w:val="TextBody"/>
        <w:bidi w:val="0"/>
        <w:spacing w:before="5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5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50" w:after="283"/>
        <w:jc w:val="left"/>
        <w:rPr>
          <w:rFonts w:ascii="Times New Roman" w:hAnsi="Times New Roman"/>
          <w:color w:val="000000"/>
          <w:sz w:val="18"/>
        </w:rPr>
      </w:pPr>
      <w:r>
        <w:rPr>
          <w:rFonts w:ascii="Times New Roman" w:hAnsi="Times New Roman"/>
          <w:color w:val="000000"/>
          <w:sz w:val="18"/>
        </w:rPr>
        <w:t>The number of shares of Registrant’s common stock outstanding as of July 31, 2026 was 21,884,846.</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56"/>
        <w:gridCol w:w="8837"/>
        <w:gridCol w:w="512"/>
      </w:tblGrid>
      <w:tr>
        <w:trPr/>
        <w:tc>
          <w:tcPr>
            <w:tcW w:w="856" w:type="dxa"/>
            <w:tcBorders/>
            <w:vAlign w:val="center"/>
          </w:tcPr>
          <w:p>
            <w:pPr>
              <w:pStyle w:val="TableContents"/>
              <w:bidi w:val="0"/>
              <w:spacing w:before="0" w:after="283"/>
              <w:jc w:val="left"/>
              <w:rPr>
                <w:sz w:val="4"/>
                <w:szCs w:val="4"/>
              </w:rPr>
            </w:pPr>
            <w:r>
              <w:rPr>
                <w:sz w:val="4"/>
                <w:szCs w:val="4"/>
              </w:rPr>
            </w:r>
          </w:p>
        </w:tc>
        <w:tc>
          <w:tcPr>
            <w:tcW w:w="88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_financial_statements">
              <w:r>
                <w:rPr>
                  <w:rStyle w:val="InternetLink"/>
                  <w:rFonts w:ascii="Times New Roman" w:hAnsi="Times New Roman"/>
                  <w:color w:val="0000FF"/>
                  <w:sz w:val="20"/>
                  <w:u w:val="single"/>
                </w:rPr>
                <w:t>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pPr>
            <w:r>
              <w:rPr/>
              <w:t> </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consolidated_balance_sheets">
              <w:r>
                <w:rPr>
                  <w:rStyle w:val="InternetLink"/>
                  <w:rFonts w:ascii="Times New Roman" w:hAnsi="Times New Roman"/>
                  <w:color w:val="0000FF"/>
                  <w:sz w:val="20"/>
                  <w:u w:val="single"/>
                </w:rPr>
                <w:t>Condensed Consolidated Balance Sheets as of June 30,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pPr>
            <w:r>
              <w:rPr/>
              <w:t> </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consolidated_statements_of_operations">
              <w:r>
                <w:rPr>
                  <w:rStyle w:val="InternetLink"/>
                  <w:rFonts w:ascii="Times New Roman" w:hAnsi="Times New Roman"/>
                  <w:color w:val="0000FF"/>
                  <w:sz w:val="20"/>
                  <w:u w:val="single"/>
                </w:rPr>
                <w:t>Unaudited 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pPr>
            <w:r>
              <w:rPr/>
              <w:t> </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consoldiated_statements_of_stockholders_">
              <w:r>
                <w:rPr>
                  <w:rStyle w:val="InternetLink"/>
                  <w:rFonts w:ascii="Times New Roman" w:hAnsi="Times New Roman"/>
                  <w:color w:val="0000FF"/>
                  <w:sz w:val="20"/>
                  <w:u w:val="single"/>
                </w:rPr>
                <w:t>Unaudited Condensed Consolidated Statements of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pPr>
            <w:r>
              <w:rPr/>
              <w:t> </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consolidated_statements_of_cash_flows">
              <w:r>
                <w:rPr>
                  <w:rStyle w:val="InternetLink"/>
                  <w:rFonts w:ascii="Times New Roman" w:hAnsi="Times New Roman"/>
                  <w:color w:val="0000FF"/>
                  <w:sz w:val="20"/>
                  <w:u w:val="single"/>
                </w:rPr>
                <w:t>Unaudited 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pPr>
            <w:r>
              <w:rPr/>
              <w:t> </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14</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hyperlink w:anchor="item_3_quantitative_and_qualitative">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25</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25</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PART II</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both"/>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27</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defaults_upon_senior_">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856" w:type="dxa"/>
            <w:tcBorders/>
            <w:shd w:fill="FFFFFF" w:val="clear"/>
            <w:tcMar>
              <w:top w:w="0" w:type="dxa"/>
              <w:left w:w="0" w:type="dxa"/>
              <w:bottom w:w="0" w:type="dxa"/>
              <w:right w:w="0" w:type="dxa"/>
            </w:tcMar>
            <w:vAlign w:val="center"/>
          </w:tcPr>
          <w:p>
            <w:pPr>
              <w:pStyle w:val="TableContents"/>
              <w:bidi w:val="0"/>
              <w:spacing w:before="4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837"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89</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40" w:after="283"/>
              <w:jc w:val="both"/>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AARDVARK THERAPEUTICS, INC.</w:t>
      </w:r>
    </w:p>
    <w:p>
      <w:pPr>
        <w:pStyle w:val="TextBody"/>
        <w:bidi w:val="0"/>
        <w:jc w:val="center"/>
        <w:rPr>
          <w:rFonts w:ascii="Times New Roman" w:hAnsi="Times New Roman"/>
          <w:b/>
          <w:color w:val="231F20"/>
          <w:sz w:val="20"/>
        </w:rPr>
      </w:pPr>
      <w:bookmarkStart w:id="4" w:name="consolidated_balance_sheets"/>
      <w:bookmarkEnd w:id="4"/>
      <w:r>
        <w:rPr>
          <w:rFonts w:ascii="Times New Roman" w:hAnsi="Times New Roman"/>
          <w:b/>
          <w:color w:val="231F20"/>
          <w:sz w:val="20"/>
        </w:rPr>
        <w:t>CONDENSED CONSOLIDATED BALANCE SHEETS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par value data)</w:t>
      </w:r>
    </w:p>
    <w:p>
      <w:pPr>
        <w:pStyle w:val="TextBody"/>
        <w:bidi w:val="0"/>
        <w:jc w:val="left"/>
        <w:rPr/>
      </w:pPr>
      <w:r>
        <w:rPr/>
        <w:t> </w:t>
      </w:r>
    </w:p>
    <w:tbl>
      <w:tblPr>
        <w:tblW w:w="9702" w:type="dxa"/>
        <w:jc w:val="left"/>
        <w:tblInd w:w="0" w:type="dxa"/>
        <w:tblLayout w:type="fixed"/>
        <w:tblCellMar>
          <w:top w:w="28" w:type="dxa"/>
          <w:left w:w="28" w:type="dxa"/>
          <w:bottom w:w="28" w:type="dxa"/>
          <w:right w:w="28" w:type="dxa"/>
        </w:tblCellMar>
      </w:tblPr>
      <w:tblGrid>
        <w:gridCol w:w="6106"/>
        <w:gridCol w:w="146"/>
        <w:gridCol w:w="211"/>
        <w:gridCol w:w="841"/>
        <w:gridCol w:w="166"/>
        <w:gridCol w:w="146"/>
        <w:gridCol w:w="219"/>
        <w:gridCol w:w="876"/>
        <w:gridCol w:w="9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117,181</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10,000,000 shares authorized</w:t>
              <w:br/>
              <w:t>   at June 30, 2026 and December 31, 2025; no shares issued and</w:t>
              <w:br/>
              <w:t>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490,000,000 shares authorized</w:t>
              <w:br/>
              <w:t>   at June 30, 2026 and December 31, 2025; 21,884,158 and 21,815,353</w:t>
              <w:br/>
              <w:t xml:space="preserve">   shares issued and outstanding at June 30, 2026 and December 31, 2025,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222,470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(115,918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231F20"/>
          <w:sz w:val="20"/>
        </w:rPr>
        <w:t>AARDVARK THERAPEUTICS, INC.</w:t>
      </w:r>
      <w:r>
        <w:rPr>
          <w:rFonts w:ascii="Times New Roman" w:hAnsi="Times New Roman"/>
          <w:color w:val="231F20"/>
          <w:sz w:val="20"/>
        </w:rPr>
        <w:t xml:space="preserve"> </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231F20"/>
          <w:sz w:val="20"/>
        </w:rPr>
        <w:t>UNAUDITED CONDENSED CONSOLIDATED STATEMENTS OF OPERATIONS</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olor w:val="231F20"/>
          <w:sz w:val="20"/>
        </w:rPr>
        <w:t>AND COMPREHENSIVE LOSS</w:t>
      </w:r>
      <w:r>
        <w:rPr>
          <w:rFonts w:ascii="Times New Roman" w:hAnsi="Times New Roman"/>
          <w:color w:val="231F20"/>
          <w:sz w:val="20"/>
        </w:rPr>
        <w:t xml:space="preserve"> </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net loss per share calculation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21,690,275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21,831,206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17,465,965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2966" w:right="2972" w:hanging="0"/>
        <w:jc w:val="center"/>
        <w:rPr>
          <w:rFonts w:ascii="Times New Roman" w:hAnsi="Times New Roman"/>
          <w:sz w:val="20"/>
        </w:rPr>
      </w:pPr>
      <w:bookmarkStart w:id="6" w:name="consoldiated_statements_of_stockholders_"/>
      <w:bookmarkEnd w:id="6"/>
      <w:r>
        <w:rPr>
          <w:rFonts w:ascii="Times New Roman" w:hAnsi="Times New Roman"/>
          <w:b/>
          <w:color w:val="000000"/>
          <w:sz w:val="20"/>
        </w:rPr>
        <w:t>AARDVARK</w:t>
      </w:r>
      <w:r>
        <w:rPr>
          <w:rFonts w:ascii="Times New Roman" w:hAnsi="Times New Roman"/>
          <w:color w:val="000000"/>
          <w:sz w:val="20"/>
        </w:rPr>
        <w:t xml:space="preserve"> </w:t>
      </w:r>
      <w:r>
        <w:rPr>
          <w:rFonts w:ascii="Times New Roman" w:hAnsi="Times New Roman"/>
          <w:b/>
          <w:color w:val="000000"/>
          <w:sz w:val="20"/>
        </w:rPr>
        <w:t>THERAPEUTICS, INC.</w:t>
      </w:r>
    </w:p>
    <w:p>
      <w:pPr>
        <w:pStyle w:val="TextBody"/>
        <w:pBdr/>
        <w:bidi w:val="0"/>
        <w:spacing w:before="10" w:after="283"/>
        <w:ind w:left="0" w:right="0" w:hanging="446"/>
        <w:jc w:val="center"/>
        <w:rPr>
          <w:rFonts w:ascii="Times New Roman" w:hAnsi="Times New Roman"/>
          <w:sz w:val="20"/>
        </w:rPr>
      </w:pPr>
      <w:r>
        <w:rPr>
          <w:rFonts w:ascii="Times New Roman" w:hAnsi="Times New Roman"/>
          <w:b/>
          <w:color w:val="231F20"/>
          <w:sz w:val="20"/>
        </w:rPr>
        <w:t xml:space="preserve">UNAUDITED </w:t>
      </w:r>
      <w:r>
        <w:rPr>
          <w:rFonts w:ascii="Times New Roman" w:hAnsi="Times New Roman"/>
          <w:b/>
          <w:color w:val="000000"/>
          <w:sz w:val="20"/>
        </w:rPr>
        <w:t>CONDENSED CONSOLIDATED STATEMENTS OF STOCKHOLDERS’ EQUITY</w:t>
      </w:r>
    </w:p>
    <w:p>
      <w:pPr>
        <w:pStyle w:val="TextBody"/>
        <w:pBdr/>
        <w:bidi w:val="0"/>
        <w:spacing w:before="10" w:after="283"/>
        <w:ind w:left="0" w:right="0" w:hanging="446"/>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146"/>
        <w:gridCol w:w="146"/>
        <w:gridCol w:w="146"/>
        <w:gridCol w:w="916"/>
        <w:gridCol w:w="146"/>
        <w:gridCol w:w="146"/>
        <w:gridCol w:w="249"/>
        <w:gridCol w:w="442"/>
        <w:gridCol w:w="146"/>
        <w:gridCol w:w="146"/>
        <w:gridCol w:w="196"/>
        <w:gridCol w:w="691"/>
        <w:gridCol w:w="146"/>
        <w:gridCol w:w="146"/>
        <w:gridCol w:w="540"/>
        <w:gridCol w:w="956"/>
        <w:gridCol w:w="166"/>
        <w:gridCol w:w="146"/>
        <w:gridCol w:w="217"/>
        <w:gridCol w:w="834"/>
        <w:gridCol w:w="166"/>
        <w:gridCol w:w="146"/>
        <w:gridCol w:w="242"/>
        <w:gridCol w:w="854"/>
        <w:gridCol w:w="213"/>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21,816,385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224,478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(137,506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86,986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21,884,158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226,690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(151,893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74,797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21,815,353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222,470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(115,918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106,633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21,884,158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226,690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(151,893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74,797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2966" w:right="2972" w:hanging="0"/>
        <w:jc w:val="center"/>
        <w:rPr>
          <w:rFonts w:ascii="Times New Roman" w:hAnsi="Times New Roman"/>
          <w:b/>
          <w:color w:val="000000"/>
          <w:sz w:val="20"/>
        </w:rPr>
      </w:pPr>
      <w:r>
        <w:rPr>
          <w:rFonts w:ascii="Times New Roman" w:hAnsi="Times New Roman"/>
          <w:b/>
          <w:color w:val="000000"/>
          <w:sz w:val="20"/>
        </w:rPr>
        <w:t>AARDVARK THERAPEUTICS, INC.</w:t>
      </w:r>
    </w:p>
    <w:p>
      <w:pPr>
        <w:pStyle w:val="TextBody"/>
        <w:pBdr/>
        <w:bidi w:val="0"/>
        <w:spacing w:before="10" w:after="283"/>
        <w:ind w:left="0" w:right="0" w:hanging="446"/>
        <w:jc w:val="center"/>
        <w:rPr>
          <w:rFonts w:ascii="Times New Roman" w:hAnsi="Times New Roman"/>
          <w:sz w:val="20"/>
        </w:rPr>
      </w:pPr>
      <w:r>
        <w:rPr>
          <w:rFonts w:ascii="Times New Roman" w:hAnsi="Times New Roman"/>
          <w:b/>
          <w:color w:val="231F20"/>
          <w:sz w:val="20"/>
        </w:rPr>
        <w:t xml:space="preserve">UNAUDITED </w:t>
      </w:r>
      <w:r>
        <w:rPr>
          <w:rFonts w:ascii="Times New Roman" w:hAnsi="Times New Roman"/>
          <w:b/>
          <w:color w:val="000000"/>
          <w:sz w:val="20"/>
        </w:rPr>
        <w:t>CONDENSED CONSOLIDATED STATEMENTS OF STOCKHOLDERS’ EQUITY (DEFICIT)</w:t>
      </w:r>
    </w:p>
    <w:p>
      <w:pPr>
        <w:pStyle w:val="TextBody"/>
        <w:pBdr/>
        <w:bidi w:val="0"/>
        <w:spacing w:before="10" w:after="283"/>
        <w:ind w:left="0" w:right="0" w:hanging="446"/>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1795" w:type="dxa"/>
        <w:jc w:val="left"/>
        <w:tblInd w:w="0" w:type="dxa"/>
        <w:tblLayout w:type="fixed"/>
        <w:tblCellMar>
          <w:top w:w="28" w:type="dxa"/>
          <w:left w:w="28" w:type="dxa"/>
          <w:bottom w:w="28" w:type="dxa"/>
          <w:right w:w="28" w:type="dxa"/>
        </w:tblCellMar>
      </w:tblPr>
      <w:tblGrid>
        <w:gridCol w:w="1096"/>
        <w:gridCol w:w="146"/>
        <w:gridCol w:w="146"/>
        <w:gridCol w:w="976"/>
        <w:gridCol w:w="166"/>
        <w:gridCol w:w="146"/>
        <w:gridCol w:w="196"/>
        <w:gridCol w:w="751"/>
        <w:gridCol w:w="166"/>
        <w:gridCol w:w="146"/>
        <w:gridCol w:w="146"/>
        <w:gridCol w:w="146"/>
        <w:gridCol w:w="916"/>
        <w:gridCol w:w="146"/>
        <w:gridCol w:w="146"/>
        <w:gridCol w:w="249"/>
        <w:gridCol w:w="442"/>
        <w:gridCol w:w="146"/>
        <w:gridCol w:w="146"/>
        <w:gridCol w:w="196"/>
        <w:gridCol w:w="691"/>
        <w:gridCol w:w="146"/>
        <w:gridCol w:w="146"/>
        <w:gridCol w:w="439"/>
        <w:gridCol w:w="777"/>
        <w:gridCol w:w="166"/>
        <w:gridCol w:w="146"/>
        <w:gridCol w:w="240"/>
        <w:gridCol w:w="811"/>
        <w:gridCol w:w="166"/>
        <w:gridCol w:w="146"/>
        <w:gridCol w:w="242"/>
        <w:gridCol w:w="854"/>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21,688,172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(67,637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150,689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21,693,016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136,925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96,941,453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126,756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4,066,969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(58,327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(54,643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Issuance of common stock in initial public offering, net of discounts and issuance costs of $10.4</w:t>
            </w:r>
            <w:r>
              <w:rPr>
                <w:rFonts w:ascii="Times New Roman" w:hAnsi="Times New Roman"/>
                <w:color w:val="000000"/>
                <w:sz w:val="20"/>
              </w:rPr>
              <w:t> </w:t>
            </w:r>
            <w:r>
              <w:rPr>
                <w:rFonts w:ascii="Times New Roman" w:hAnsi="Times New Roman"/>
                <w:color w:val="000000"/>
                <w:sz w:val="18"/>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6,120,661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convertible preferred stock into common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(96,941,453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11,439,838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21,693,016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218,932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136,925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1440" w:right="1829" w:hanging="0"/>
        <w:jc w:val="center"/>
        <w:rPr>
          <w:rFonts w:ascii="Times New Roman" w:hAnsi="Times New Roman"/>
          <w:sz w:val="20"/>
        </w:rPr>
      </w:pPr>
      <w:r>
        <w:rPr>
          <w:rFonts w:ascii="Times New Roman" w:hAnsi="Times New Roman"/>
          <w:b/>
          <w:color w:val="000000"/>
          <w:sz w:val="20"/>
        </w:rPr>
        <w:t>AARDVARK THERAPEUTICS, INC.</w:t>
      </w:r>
      <w:r>
        <w:rPr>
          <w:rFonts w:ascii="Times New Roman" w:hAnsi="Times New Roman"/>
          <w:color w:val="000000"/>
          <w:sz w:val="20"/>
        </w:rPr>
        <w:t xml:space="preserve"> </w:t>
      </w:r>
    </w:p>
    <w:p>
      <w:pPr>
        <w:pStyle w:val="TextBody"/>
        <w:bidi w:val="0"/>
        <w:ind w:left="1440" w:right="1830" w:hanging="0"/>
        <w:jc w:val="center"/>
        <w:rPr>
          <w:rFonts w:ascii="Times New Roman" w:hAnsi="Times New Roman"/>
          <w:sz w:val="20"/>
        </w:rPr>
      </w:pPr>
      <w:bookmarkStart w:id="7" w:name="consolidated_statements_of_cash_flows"/>
      <w:bookmarkEnd w:id="7"/>
      <w:r>
        <w:rPr>
          <w:rFonts w:ascii="Times New Roman" w:hAnsi="Times New Roman"/>
          <w:b/>
          <w:color w:val="231F20"/>
          <w:sz w:val="20"/>
        </w:rPr>
        <w:t xml:space="preserve">UNAUDITED </w:t>
      </w: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ind w:left="1440" w:right="1830" w:hanging="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090" w:type="dxa"/>
        <w:jc w:val="left"/>
        <w:tblInd w:w="0" w:type="dxa"/>
        <w:tblLayout w:type="fixed"/>
        <w:tblCellMar>
          <w:top w:w="28" w:type="dxa"/>
          <w:left w:w="28" w:type="dxa"/>
          <w:bottom w:w="28" w:type="dxa"/>
          <w:right w:w="28" w:type="dxa"/>
        </w:tblCellMar>
      </w:tblPr>
      <w:tblGrid>
        <w:gridCol w:w="6751"/>
        <w:gridCol w:w="146"/>
        <w:gridCol w:w="217"/>
        <w:gridCol w:w="759"/>
        <w:gridCol w:w="171"/>
        <w:gridCol w:w="150"/>
        <w:gridCol w:w="217"/>
        <w:gridCol w:w="868"/>
        <w:gridCol w:w="8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Maturities/sales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Proceeds from sale and issuance of common stock in initial public offering, net of </w:t>
              <w:br/>
              <w:t>   underwriting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costs paid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financing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 in exchange for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Conversion of convertible preferred stock into common stock upon </w:t>
              <w:br/>
              <w:t>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AARDVARK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
      <w:bookmarkEnd w:id="8"/>
      <w:r>
        <w:rPr>
          <w:rFonts w:ascii="Times New Roman" w:hAnsi="Times New Roman"/>
          <w:b/>
          <w:color w:val="000000"/>
          <w:sz w:val="20"/>
        </w:rPr>
        <w:t xml:space="preserve">NOTES TO </w:t>
      </w:r>
      <w:r>
        <w:rPr>
          <w:rFonts w:ascii="Times New Roman" w:hAnsi="Times New Roman"/>
          <w:b/>
          <w:color w:val="231F20"/>
          <w:sz w:val="20"/>
        </w:rPr>
        <w:t xml:space="preserve">UNAUDITED </w:t>
      </w:r>
      <w:r>
        <w:rPr>
          <w:rFonts w:ascii="Times New Roman" w:hAnsi="Times New Roman"/>
          <w:b/>
          <w:color w:val="000000"/>
          <w:sz w:val="20"/>
        </w:rPr>
        <w:t>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Organization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Aardvark Therapeutics, Inc. (“Aardvark” or the “Company”) was incorporated in the State of Delaware on May 17, 2017 and its principal offices are located in San Diego, California. The Company is a clinical-stage biopharmaceutical company focused on developing novel, small-molecule therapeutics to activate innate homeostatic pathways for the treatment of metabolic diseases. The Company targets biological pathways associated with alleviating hunger.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October 2024, the Company incorporated a wholly-owned subsidiary, Artisan Therapeutics, Inc., in the State of Delaware and contributed certain assets to the new entity. In February 2026, the Company incorporated a wholly-owned subsidiary, Ardia Therapeutics, Inc., in the State of Delaware and contributed certain assets to the new entity.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wholly-owned subsidiaries, Artisan Therapeutics, Inc. and Ardia Therapeutics, Inc., and have been prepared in conformity with U.S. generally accepted accounting principles (“GAAP”). All intercompany accounts and transactions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5, 2025, the Company effected a one-for-8.474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the Reverse Stock Split for all periods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the Company has devoted substantially all of its resources to organizing and staffing the Company, business planning, raising capital, discovering ARD-101, establishing and maintaining its intellectual property portfolio, conducting research, preclinical studies and clinical trials, manufacturing ARD-101 and related raw materials, and providing general and administrative support for these operations. The Company does not have any products approved for sale and has not generated any revenue to date. In addition, the Company has a limited operating history, has incurred significant net losses and negative cash flows from operations since its inception and expects that its operating losses and negative cash flows from operations will continue for the foreseeable future. As of June 30, 2026, the Company had an accumulated deficit of $151.9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believes its cash, cash equivalents and short-term investments of $73.9 million as of June 30, 2026 will be sufficient for the Company to continue as a going concern for at least one year following the date that the unaudited condensed consolidated financial statements are available to be issued.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will be required to raise additional capital and plans to finance its cash needs through public or private equity or debt financings or other capital sources, including potential collaborations, licenses and other similar arrangements, as well as equity financings through the at-the-market equity offering sales agreement the Company entered into with Piper Sandler &amp; Co. in March 2026 for the sale of up to $150.0 million of the Company’s common stock. However, there can be no assurance that the Company will be able to obtain additional funding on acceptable terms, or at all. If the Company is not able to secure adequate additional funding, it may be forced to make reductions in spending, extend payment terms with suppliers, liquidate assets where possible, and/or delay or reduce the scope of its planned development programs. Any of these actions could materially harm the Company’s business, results of operations and future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Condensed Consolidated Interim Financial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accompanying condensed consolidated interim financial statements and notes for the three and six months ended June 30, 2026 and 2025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consolidated financial position, results of operations, and cash flows for the interim period presented. The consolidated results of operations for the three and six months ended June 30, 2026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necessarily indicative of the results to be expected for the year ending December 31, 2026 or for any other future annual or interim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included in the Company’s Annual Report on Form 10-K for the year ended December 31, 2025 filed with the Securities and Exchange Commission on March 23,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the Company’s unaudited condensed consolidated financial statements requires the Company to make estimates and assumptions that impact the reported amounts of assets, liabilities and expenses and the disclosure of contingent assets and liabilities in the unaudited condensed consolidated financial statements and accompanying notes. Such estimates include the estimated incremental borrowing rate for the determination of the Company’s operating lease right-of-use assets, valuation of stock-based awards and the accrual of research and development expenses.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considers all highly liquid investments that are readily convertible into cash, with original maturities of three months or less when purchased, to be cash equivalents and are stated at cost, which approximates fair value. Cash equivalents are comprised of money market mutual funds and short-term debt obligations of the U.S. Treasury.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invests its excess cash in short-term debt obligations of the U.S. Treasury in order to mitigate credit risk and maintain principal and maximize liquidity.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Short-term investments consist of investments in corporate equity securities with readily determinable fair values and short-term debt obligations of the U.S. Treasury with original maturities in excess of three months. The investments in corporate equity securities with readily determinable fair values are reported at fair value with changes in fair value recorded in the unaudited condensed consolidated statements of operations and comprehensive loss. During the three months ended June 30, 2026, unrealized gains of $2,000 were reported in other income (expense), net in the accompanying unaudited condensed consolidated statements of operations and comprehensive loss. During the six months ended June 30, 2026 and the three and six months ended June 30, 2025, unrealized losses of $11,000, $7,000 and $22,000, respectively, were reported in other income (expense), net in the accompanying unaudited condensed consolidated statements of operations and comprehensive loss.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obtains pricing information from its investment manager and generally determines the fair value of debt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Investments with contractual maturities beyond one year are also classified as short-term due to the Company’s ability to liquidate the investment for use in operations within the next 12 months.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and dividend income in the accompanying unaudited condensed consolidated statements of operations and comprehensive loss and accrued interest receivable is included in prepaid expenses and other current assets in the accompanying unaudited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At each balance sheet date, the Company reviews its available-for-sale debt securities that are in an unrealized loss position to determine whether the unrealized loss or any potential credit losses should be recognized in the unaudited condensed consolidated statements of operations and comprehensive loss.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 related to investments in the Company's available-for-sale debt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amounts of cash equivalents, prepaid expenses and other current assets, accounts payable, and accrued expenses are considered to be representative of their respective fair values because of the short-term nature of those instruments.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are charged to expense as incurred. Research and development expenses consist primarily of external and internal costs incurred in performing preclinical and clinical development activities. External costs include fees paid to contract research organizations (CROs) and consultants in connection with product development activities, including regulatory activities, costs related to manufacturing materials for preclinical studies and clinical trials and license fees. Internal costs include personnel-related costs such as salaries and related expenses for employees involved in research and development efforts, facilities-related costs, depreciation, and other allocated expenses. Non-refundable advance payments for goods and services for future research and development activities are deferred and included in other assets in the accompanying unaudited condensed consolidated balance sheets and are expensed as the goods are delivered or the related services are performed.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estimates its expenses resulting from its obligations under contracts with vendors, consultants, and CROs in connection with the progress of research and development services performed. The financial terms of these contracts vary from contract to contract and may result in payment flows that do not match the periods over which the services are provided or goods delivered under such contracts. The Company reflects research and development expenses in its unaudited condensed consolidated financial statements by matching those expenses with the period in which services are provided. The Company accounts for these expenses according to the progress of the preclinical or clinical study as measured by the timing of various aspects of the study or the progress of related activities. During the course of a study, the Company reassesses its estimate of performance prospectively based on actual results or any modification to the agreements. Historically, there have been no material differences between the Company’s estimates and the amounts actually incurred.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Comprehensive loss is defined as the change in equity during a period from transactions and other events and circumstances from non-owner sources, including unrealized gains and losses on certain investments. For all periods presented, comprehensive loss includes unrealized gains and losses on short-term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Standards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283"/>
        <w:ind w:left="0" w:right="66" w:firstLine="490"/>
        <w:jc w:val="left"/>
        <w:rPr>
          <w:rFonts w:ascii="Times New Roman" w:hAnsi="Times New Roman"/>
          <w:sz w:val="20"/>
        </w:rPr>
      </w:pPr>
      <w:r>
        <w:rPr>
          <w:rFonts w:ascii="Times New Roman" w:hAnsi="Times New Roman"/>
          <w:color w:val="000000"/>
          <w:sz w:val="20"/>
        </w:rPr>
        <w:t xml:space="preserve">In November 2024, the FASB issued Accounting Standards Update ("ASU") No. 2024-03, </w:t>
      </w:r>
      <w:r>
        <w:rPr>
          <w:rFonts w:ascii="Times New Roman" w:hAnsi="Times New Roman"/>
          <w:i/>
          <w:color w:val="000000"/>
          <w:sz w:val="20"/>
        </w:rPr>
        <w:t xml:space="preserve">Income Statement—Reporting Comprehensive Income—Expense Disaggregation Disclosures (Subtopic 220-40) </w:t>
      </w:r>
      <w:r>
        <w:rPr>
          <w:rFonts w:ascii="Times New Roman" w:hAnsi="Times New Roman"/>
          <w:color w:val="000000"/>
          <w:sz w:val="20"/>
        </w:rPr>
        <w:t xml:space="preserve">(“ASU 2024-03”), which requires new financial statement disclosures in tabular format, in the notes to the unaudited condensed consolidated financial statements, of specified information about certain costs and expenses. This update is effective for all entities beginning after December 15, 2026 and interim periods within fiscal years beginning after December 15, 2027. ASU 2024-03 can be applied prospectively or retrospectively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66" w:hanging="0"/>
        <w:jc w:val="left"/>
        <w:rPr>
          <w:rFonts w:ascii="Times New Roman" w:hAnsi="Times New Roman"/>
          <w:color w:val="000000"/>
          <w:sz w:val="20"/>
        </w:rPr>
      </w:pPr>
      <w:r>
        <w:rPr>
          <w:rFonts w:ascii="Times New Roman" w:hAnsi="Times New Roman"/>
          <w:color w:val="000000"/>
          <w:sz w:val="20"/>
        </w:rPr>
        <w:t>early adoption is permitted. The Company is currently evaluating the impact of this guidance on its unaudited condensed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ind w:left="0" w:right="66" w:firstLine="490"/>
        <w:jc w:val="left"/>
        <w:rPr>
          <w:rFonts w:ascii="Times New Roman" w:hAnsi="Times New Roman"/>
          <w:color w:val="000000"/>
          <w:sz w:val="20"/>
        </w:rPr>
      </w:pPr>
      <w:r>
        <w:rPr>
          <w:rFonts w:ascii="Times New Roman" w:hAnsi="Times New Roman"/>
          <w:color w:val="000000"/>
          <w:sz w:val="20"/>
        </w:rPr>
        <w:t>Basic net loss per share of common stock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 excluded 5,763 and 7,182 weighted-average shares subject to repurchase or forfeiture from the weighted-average number of shares of common stock outstanding for the three and six months ended June 30, 2025, respectively. No shares were excluded from the weighted-average number of shares of common stock outstanding for the three and six months ended June 30, 2026.</w:t>
      </w:r>
    </w:p>
    <w:p>
      <w:pPr>
        <w:pStyle w:val="TextBody"/>
        <w:bidi w:val="0"/>
        <w:spacing w:before="240" w:after="283"/>
        <w:ind w:left="0" w:right="72" w:firstLine="490"/>
        <w:jc w:val="left"/>
        <w:rPr>
          <w:rFonts w:ascii="Times New Roman" w:hAnsi="Times New Roman"/>
          <w:color w:val="000000"/>
          <w:sz w:val="20"/>
        </w:rPr>
      </w:pPr>
      <w:r>
        <w:rPr>
          <w:rFonts w:ascii="Times New Roman" w:hAnsi="Times New Roman"/>
          <w:color w:val="000000"/>
          <w:sz w:val="20"/>
        </w:rPr>
        <w:t>Basic and diluted net loss attributable to common holders per share is presented in conformity with the two-class method required for participating securities as the convertible preferred stock was considered participating securities because it participated in dividends with the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 Accordingly, for the three and six months ended June 30, 2026 and 2025, there is no difference in the number of shares used to calculate basic and diluted shares outstanding.</w:t>
      </w:r>
    </w:p>
    <w:p>
      <w:pPr>
        <w:pStyle w:val="TextBody"/>
        <w:bidi w:val="0"/>
        <w:spacing w:before="240" w:after="283"/>
        <w:ind w:left="0" w:right="72" w:firstLine="490"/>
        <w:jc w:val="left"/>
        <w:rPr>
          <w:rFonts w:ascii="Times New Roman" w:hAnsi="Times New Roman"/>
          <w:color w:val="000000"/>
          <w:sz w:val="20"/>
        </w:rPr>
      </w:pPr>
      <w:r>
        <w:rPr>
          <w:rFonts w:ascii="Times New Roman" w:hAnsi="Times New Roman"/>
          <w:color w:val="000000"/>
          <w:sz w:val="20"/>
        </w:rPr>
        <w:t>The Company excluded the following potential shares of its common stock, presented based on amounts outstanding at each period end, from the computation of diluted net loss per share for the periods indicated because including them would have had an anti-dilutive effect:</w:t>
      </w:r>
    </w:p>
    <w:p>
      <w:pPr>
        <w:pStyle w:val="TextBody"/>
        <w:bidi w:val="0"/>
        <w:jc w:val="left"/>
        <w:rPr/>
      </w:pPr>
      <w:r>
        <w:rPr/>
        <w:t> </w:t>
      </w:r>
    </w:p>
    <w:tbl>
      <w:tblPr>
        <w:tblW w:w="6399" w:type="dxa"/>
        <w:jc w:val="left"/>
        <w:tblInd w:w="0" w:type="dxa"/>
        <w:tblLayout w:type="fixed"/>
        <w:tblCellMar>
          <w:top w:w="28" w:type="dxa"/>
          <w:left w:w="28" w:type="dxa"/>
          <w:bottom w:w="28" w:type="dxa"/>
          <w:right w:w="28" w:type="dxa"/>
        </w:tblCellMar>
      </w:tblPr>
      <w:tblGrid>
        <w:gridCol w:w="3616"/>
        <w:gridCol w:w="146"/>
        <w:gridCol w:w="146"/>
        <w:gridCol w:w="931"/>
        <w:gridCol w:w="146"/>
        <w:gridCol w:w="146"/>
        <w:gridCol w:w="146"/>
        <w:gridCol w:w="93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repurchase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2,991,180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120" w:after="283"/>
        <w:ind w:left="490" w:right="0" w:hanging="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ind w:left="490" w:right="0" w:hanging="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120" w:after="283"/>
        <w:ind w:left="490" w:right="0" w:hanging="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and December 31, 2025, assets measured at fair value on a recurring basis were as follows (in thousands):</w:t>
      </w:r>
    </w:p>
    <w:p>
      <w:pPr>
        <w:pStyle w:val="TextBody"/>
        <w:bidi w:val="0"/>
        <w:ind w:left="0" w:right="0" w:firstLine="490"/>
        <w:jc w:val="left"/>
        <w:rPr/>
      </w:pPr>
      <w:r>
        <w:rPr/>
        <w:t> </w:t>
      </w:r>
    </w:p>
    <w:tbl>
      <w:tblPr>
        <w:tblW w:w="8173" w:type="dxa"/>
        <w:jc w:val="left"/>
        <w:tblInd w:w="0" w:type="dxa"/>
        <w:tblLayout w:type="fixed"/>
        <w:tblCellMar>
          <w:top w:w="28" w:type="dxa"/>
          <w:left w:w="28" w:type="dxa"/>
          <w:bottom w:w="28" w:type="dxa"/>
          <w:right w:w="28" w:type="dxa"/>
        </w:tblCellMar>
      </w:tblPr>
      <w:tblGrid>
        <w:gridCol w:w="3726"/>
        <w:gridCol w:w="146"/>
        <w:gridCol w:w="211"/>
        <w:gridCol w:w="676"/>
        <w:gridCol w:w="146"/>
        <w:gridCol w:w="146"/>
        <w:gridCol w:w="211"/>
        <w:gridCol w:w="676"/>
        <w:gridCol w:w="146"/>
        <w:gridCol w:w="146"/>
        <w:gridCol w:w="239"/>
        <w:gridCol w:w="391"/>
        <w:gridCol w:w="146"/>
        <w:gridCol w:w="146"/>
        <w:gridCol w:w="239"/>
        <w:gridCol w:w="391"/>
        <w:gridCol w:w="39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Scilex Holding Company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Sorrento Therapeutics, Inc.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tbl>
      <w:tblPr>
        <w:tblW w:w="8430" w:type="dxa"/>
        <w:jc w:val="left"/>
        <w:tblInd w:w="0" w:type="dxa"/>
        <w:tblLayout w:type="fixed"/>
        <w:tblCellMar>
          <w:top w:w="28" w:type="dxa"/>
          <w:left w:w="28" w:type="dxa"/>
          <w:bottom w:w="28" w:type="dxa"/>
          <w:right w:w="28" w:type="dxa"/>
        </w:tblCellMar>
      </w:tblPr>
      <w:tblGrid>
        <w:gridCol w:w="3726"/>
        <w:gridCol w:w="146"/>
        <w:gridCol w:w="211"/>
        <w:gridCol w:w="676"/>
        <w:gridCol w:w="146"/>
        <w:gridCol w:w="146"/>
        <w:gridCol w:w="211"/>
        <w:gridCol w:w="676"/>
        <w:gridCol w:w="146"/>
        <w:gridCol w:w="146"/>
        <w:gridCol w:w="211"/>
        <w:gridCol w:w="676"/>
        <w:gridCol w:w="146"/>
        <w:gridCol w:w="146"/>
        <w:gridCol w:w="239"/>
        <w:gridCol w:w="391"/>
        <w:gridCol w:w="39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Scilex Holding Company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Sorrento Therapeutics,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transfers in or out of Level 3 during the three and six months ended June 30, 2026 and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the fair value of its money market mutual funds and treasury bonds based upon quoted prices in active markets for identical and similar assets as applicable. At June 30, 2026 and December 31, 2025, the Company did not hold any investments, within cash equivalents, that were in a material unrealized gain or loss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Short-Term Investments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available-for-sale debt investment securities held at December 31, 2025 (in thousands): </w:t>
      </w:r>
    </w:p>
    <w:p>
      <w:pPr>
        <w:pStyle w:val="TextBody"/>
        <w:bidi w:val="0"/>
        <w:spacing w:before="240" w:after="283"/>
        <w:ind w:left="0" w:right="0" w:firstLine="490"/>
        <w:jc w:val="left"/>
        <w:rPr/>
      </w:pPr>
      <w:r>
        <w:rPr/>
        <w:t> </w:t>
      </w:r>
    </w:p>
    <w:tbl>
      <w:tblPr>
        <w:tblW w:w="9181" w:type="dxa"/>
        <w:jc w:val="left"/>
        <w:tblInd w:w="0" w:type="dxa"/>
        <w:tblLayout w:type="fixed"/>
        <w:tblCellMar>
          <w:top w:w="28" w:type="dxa"/>
          <w:left w:w="28" w:type="dxa"/>
          <w:bottom w:w="28" w:type="dxa"/>
          <w:right w:w="28" w:type="dxa"/>
        </w:tblCellMar>
      </w:tblPr>
      <w:tblGrid>
        <w:gridCol w:w="2176"/>
        <w:gridCol w:w="146"/>
        <w:gridCol w:w="296"/>
        <w:gridCol w:w="949"/>
        <w:gridCol w:w="146"/>
        <w:gridCol w:w="146"/>
        <w:gridCol w:w="725"/>
        <w:gridCol w:w="1090"/>
        <w:gridCol w:w="146"/>
        <w:gridCol w:w="146"/>
        <w:gridCol w:w="697"/>
        <w:gridCol w:w="1148"/>
        <w:gridCol w:w="146"/>
        <w:gridCol w:w="146"/>
        <w:gridCol w:w="211"/>
        <w:gridCol w:w="676"/>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available-for-sale debt investment securities held at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Prepaid assets and other current assets consisted of the following (in thousands):</w:t>
      </w:r>
    </w:p>
    <w:p>
      <w:pPr>
        <w:pStyle w:val="TextBody"/>
        <w:bidi w:val="0"/>
        <w:spacing w:before="120" w:after="283"/>
        <w:ind w:left="0" w:right="0" w:firstLine="490"/>
        <w:jc w:val="left"/>
        <w:rPr/>
      </w:pPr>
      <w:r>
        <w:rPr/>
        <w:t> </w:t>
      </w:r>
    </w:p>
    <w:tbl>
      <w:tblPr>
        <w:tblW w:w="6437"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Accrued liabilities consisted of the following (in thousands):</w:t>
      </w:r>
    </w:p>
    <w:p>
      <w:pPr>
        <w:pStyle w:val="TextBody"/>
        <w:bidi w:val="0"/>
        <w:jc w:val="left"/>
        <w:rPr/>
      </w:pPr>
      <w:r>
        <w:rPr/>
        <w:t> </w:t>
      </w:r>
    </w:p>
    <w:tbl>
      <w:tblPr>
        <w:tblW w:w="6015" w:type="dxa"/>
        <w:jc w:val="left"/>
        <w:tblInd w:w="0" w:type="dxa"/>
        <w:tblLayout w:type="fixed"/>
        <w:tblCellMar>
          <w:top w:w="28" w:type="dxa"/>
          <w:left w:w="28" w:type="dxa"/>
          <w:bottom w:w="28" w:type="dxa"/>
          <w:right w:w="28" w:type="dxa"/>
        </w:tblCellMar>
      </w:tblPr>
      <w:tblGrid>
        <w:gridCol w:w="2761"/>
        <w:gridCol w:w="146"/>
        <w:gridCol w:w="303"/>
        <w:gridCol w:w="822"/>
        <w:gridCol w:w="146"/>
        <w:gridCol w:w="146"/>
        <w:gridCol w:w="403"/>
        <w:gridCol w:w="1097"/>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120" w:after="283"/>
        <w:jc w:val="left"/>
        <w:rPr>
          <w:rFonts w:ascii="Times New Roman" w:hAnsi="Times New Roman"/>
          <w:sz w:val="20"/>
        </w:rPr>
      </w:pPr>
      <w:r>
        <w:rPr>
          <w:rFonts w:ascii="Times New Roman" w:hAnsi="Times New Roman"/>
          <w:b/>
          <w:i/>
          <w:color w:val="000000"/>
          <w:sz w:val="20"/>
        </w:rPr>
        <w:t>Initial Public Offering and Related Transactions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February 2025, the Company completed its initial public offering ("IPO") with the sale of 6,120,661 shares of common stock at an initial public offering price of $16.00 per share, which included the partial exercise by the underwriters of their option to purchase 232,661 additional shares, which resulted in net proceeds to the Company of approximately $87.5 million, after deducting underwriting discounts and commissions of approximately $6.9 million and offering-related transaction costs of approximately $3.5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in connection with the completion of the IPO on February 14, 2025, all outstanding shares of convertible preferred stock were converted into 11,439,838 shares of the Company’s common stock and the Company’s certificate of incorporation was amended and restated to authorize 490,000,000 shares of common stock and 10,000,000 shares of undesignated preferred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March 2026, the Company entered into an Equity Distribution Agreement with Piper Sandler &amp; Co. (the “Agent”), pursuant to which the Company may, from time to time, offer and sell through the Agent shares (the “Shares”) of its common stock (the “ATM Facility”). The issuance and sale of the Shares, if any, will be made pursuant to the Company’s shelf registration statement on Form S-3 (Registration Statement No. 333-294537), filed with the Securities and Exchange Commission on March 23, 2026, including the equity distribution agreement prospectus (the “Equity Distribution Agreement Prospectus”) contained therein. Pursuant to the Equity Distribution Agreement Prospectus, the Company may offer and sell Shares having an aggregate offering price of up to $150.0 million. The Equity Distribution Agreement provides that the Company will pay the Agent a commission at a rate of 3.0% of the gross sales price per Share sold under the Equity Distribution Agreement. The Company has no obligation to sell any Shares under the Equity Distribution Agreement. As of June 30, 2026, no shares of common stock have been sold under the ATM Facility.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2024, the Company’s board of directors adopted the 2025 Equity Incentive Plan (the “2025 Plan”), and the Company’s stockholders approved the 2025 Plan in February 2025. The 2025 Plan, pursuant to which 2,150,000 shares were initially reserved for issuance, became effective on February 11, 2025. Upon the effectiveness of the 2025 Plan, no further grants will be made under the 2017 Stock Plan (as amended, the “2017 Plan”). In May 2025, the Company adopted the 2025 Inducement Equity Incentive Plan (the "2025 Inducement Plan", and collectively with the 2025 Plan and the 2017 Plan, referred to as the "Plans") pursuant to which an additional 900,000 shares of common stock were reserved to be used exclusively for the grant of equity awards as a material inducement for individuals to commence employment with the Company in compliance with Nasdaq Listing Rule 5635(c)(4).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maximum term of the options granted under the Plans is no more than ten years. Grants generally vest at 25% one year from the vesting commencement date and ratably each month thereafter for a period of 36 months, subject to continuous service. The Plans allow for the early exercise of all stock options granted if authorized by the board of directors at the time of grant. Any shares of common stock issued from the early exercise of stock options are restricted and vest over time. The Company has the option to repurchase any unvested shares at the lower of the original issue price or current fair value upon any voluntary or involuntary termination of such optionee.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2026, the Company's board of directors approved a proposal to reprice certain eligible outstanding stock options, and the Company is seeking the approval from its stockholders at the Company's 2026 Annual Meeting of Stockholders, which is scheduled for August 14, 2026. If the Company's stockholders do not approve the proposal or the proposal is not ultimately implemented, then the outstanding stock options will remain outstanding at their original exercise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allocation of stock-based compensation expense was as follows (in thousands):</w:t>
      </w:r>
    </w:p>
    <w:p>
      <w:pPr>
        <w:pStyle w:val="TextBody"/>
        <w:bidi w:val="0"/>
        <w:jc w:val="left"/>
        <w:rPr/>
      </w:pPr>
      <w:r>
        <w:rPr/>
        <w:t> </w:t>
      </w:r>
    </w:p>
    <w:tbl>
      <w:tblPr>
        <w:tblW w:w="8559" w:type="dxa"/>
        <w:jc w:val="left"/>
        <w:tblInd w:w="0" w:type="dxa"/>
        <w:tblLayout w:type="fixed"/>
        <w:tblCellMar>
          <w:top w:w="28" w:type="dxa"/>
          <w:left w:w="28" w:type="dxa"/>
          <w:bottom w:w="28" w:type="dxa"/>
          <w:right w:w="28" w:type="dxa"/>
        </w:tblCellMar>
      </w:tblPr>
      <w:tblGrid>
        <w:gridCol w:w="3451"/>
        <w:gridCol w:w="146"/>
        <w:gridCol w:w="280"/>
        <w:gridCol w:w="758"/>
        <w:gridCol w:w="193"/>
        <w:gridCol w:w="193"/>
        <w:gridCol w:w="280"/>
        <w:gridCol w:w="559"/>
        <w:gridCol w:w="146"/>
        <w:gridCol w:w="146"/>
        <w:gridCol w:w="146"/>
        <w:gridCol w:w="256"/>
        <w:gridCol w:w="693"/>
        <w:gridCol w:w="177"/>
        <w:gridCol w:w="177"/>
        <w:gridCol w:w="256"/>
        <w:gridCol w:w="51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As of June 30, 2026, the unrecognized compensation cost related to outstanding time-based options was $21.1 million and is expected to be recognized over a weighted-average period of 3.0 years.</w:t>
      </w:r>
    </w:p>
    <w:p>
      <w:pPr>
        <w:pStyle w:val="TextBody"/>
        <w:bidi w:val="0"/>
        <w:spacing w:before="40" w:after="283"/>
        <w:ind w:left="0" w:right="0" w:firstLine="49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Employee Stock Purchase Pla</w:t>
      </w:r>
      <w:r>
        <w:rPr>
          <w:rFonts w:ascii="Times New Roman" w:hAnsi="Times New Roman"/>
          <w:b/>
          <w:color w:val="000000"/>
          <w:sz w:val="20"/>
        </w:rPr>
        <w:t>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January 2025, the Company’s board of directors adopted the 2025 Employee Stock Purchase Plan (the "ESPP"), which became effective on February 11, 2025. The ESPP permits participants to purchase common stock through payroll deductions of up to 100% of their eligible compensation. Initially, a total of 215,000 shares of common stock was reserved for issuance under the ESPP. The first offering period under the ESPP commenced in April 2025. Stock compensation expense for all periods presented related to the ESPP was immaterial. As of June 30, 2026, the unrecognized compensation cost related to current offering periods under the ESPP was $0.6 million and is expected to be recognized over a weighted-average period of 1.1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Acquisition-Related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previously acquired the rights to certain intellectual property in exchange for upfront cash payments and the sellers’ right to receive additional consideration upon the achievement of specified regulatory and commercial milestones associated with products developed by the Company utilizing the acquired in-process research and development. At June 30, 2026, potential future regulatory and commercial milestone payments under these agreements totaled an aggregate of approximately $180.5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become subject to claims or suits arising in the ordinary course of business. The Company accrues a liability for such matters when it is probable that future expenditures will be made and such expenditures can be reasonably estimated. As of June 30, 2026, the Company’s management is not aware of any legal proceedings or matters that could have a material adverse effect on the Company’s financial position, results of operations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as a result of such indemnifications. At June 30, 2026, no claims exist under indemnification arrangements and accordingly, no amounts have been accrued in its unaudited condensed consolidated financial statements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Chief Executive Officer is a member of the board of directors of Aardwolf Therapeutics, Inc. (Note 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Aardwolf Spinoff</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May 2022, through a series of transactions, the Company spun off certain assets of the Company (the "Spinoff") to Aardwolf Therapeutics, Inc. (“Aardwolf”). In accordance with authoritative guidance, the Company has determined that it holds a variable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 Aardwolf and Aardwolf meets the definition of a variable interest entity (“VIE”) as Aardwolf does not have the ability to finance its activities without additional subordinated financial support and its equity investors will not absorb their proportionate share of expected losses. However, as the Company does not have both (i) the power to direct the economically significant activities of Aardwolf and (ii) the obligation to absorb losses of, or the right to receive benefits from, Aardwolf, the Company is not considered the primary beneficiary of Aardwolf and has not consolidated the financial position or results of operations of Aardwolf in the accompanying unaudited condensed consolidated financial statements, although Aardwolf is considered a related party of the Company. The Company will continuously perform this assessment, as changes to existing relationships or future transactions may result in the consolidation or deconsolidation of a VIE. At June 30, 2026 and December 31, 2025, the maximum exposure to loss was zero.</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11.</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Segment Reporting</w:t>
      </w:r>
    </w:p>
    <w:p>
      <w:pPr>
        <w:pStyle w:val="TextBody"/>
        <w:bidi w:val="0"/>
        <w:spacing w:before="120" w:after="160"/>
        <w:ind w:left="0" w:right="0" w:firstLine="490"/>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 maker, or decision-making group ("CODM"), in making decisions regarding resource allocation and assessing performance. The Company’s CODM is its Chief Executive Officer. No product revenue has been generated since inception and all assets are held in the United States.</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The Company views its operations and manages its business as one operating segment, focused on the discovery and development of novel therapies for the treatment of metabolic diseases. Segment profit or loss is measured as the Company’s net loss as reported on the Company’s unaudited condensed consolidated statements of operations and comprehensive loss. The Company monitors its cash and cash equivalents and short-term investments as reported on the Company’s unaudited condensed consolidated balance sheets to determine funding for its research and development. The measure of segment assets is reported on the condensed consolidated balance sheet as total assets.</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 xml:space="preserve">As the Company does not currently generate revenue, the CODM assesses Company performance through the achievement of pre-clinical and clinical research goals. In addition to the Company’s unaudited condensed consolidated statements of operations and comprehensive loss, the CODM is regularly provided with budgeted and forecasted expense information which is used to determine the Company’s liquidity needs and cash allocation. </w:t>
      </w:r>
    </w:p>
    <w:p>
      <w:pPr>
        <w:pStyle w:val="TextBody"/>
        <w:bidi w:val="0"/>
        <w:spacing w:before="80" w:after="200"/>
        <w:ind w:left="0" w:right="0" w:firstLine="490"/>
        <w:jc w:val="left"/>
        <w:rPr>
          <w:rFonts w:ascii="Times New Roman" w:hAnsi="Times New Roman"/>
          <w:color w:val="000000"/>
          <w:sz w:val="20"/>
        </w:rPr>
      </w:pPr>
      <w:r>
        <w:rPr>
          <w:rFonts w:ascii="Times New Roman" w:hAnsi="Times New Roman"/>
          <w:color w:val="000000"/>
          <w:sz w:val="20"/>
        </w:rPr>
        <w:t>Segment net loss, including significant segment expenses regularly provided to the CODM, is as follows (in thousands):</w:t>
      </w:r>
    </w:p>
    <w:tbl>
      <w:tblPr>
        <w:tblW w:w="10205" w:type="dxa"/>
        <w:jc w:val="left"/>
        <w:tblInd w:w="0" w:type="dxa"/>
        <w:tblLayout w:type="fixed"/>
        <w:tblCellMar>
          <w:top w:w="28" w:type="dxa"/>
          <w:left w:w="28" w:type="dxa"/>
          <w:bottom w:w="28" w:type="dxa"/>
          <w:right w:w="28" w:type="dxa"/>
        </w:tblCellMar>
      </w:tblPr>
      <w:tblGrid>
        <w:gridCol w:w="5027"/>
        <w:gridCol w:w="246"/>
        <w:gridCol w:w="226"/>
        <w:gridCol w:w="727"/>
        <w:gridCol w:w="178"/>
        <w:gridCol w:w="156"/>
        <w:gridCol w:w="226"/>
        <w:gridCol w:w="727"/>
        <w:gridCol w:w="166"/>
        <w:gridCol w:w="146"/>
        <w:gridCol w:w="211"/>
        <w:gridCol w:w="676"/>
        <w:gridCol w:w="166"/>
        <w:gridCol w:w="146"/>
        <w:gridCol w:w="211"/>
        <w:gridCol w:w="676"/>
        <w:gridCol w:w="294"/>
      </w:tblGrid>
      <w:tr>
        <w:trPr/>
        <w:tc>
          <w:tcPr>
            <w:tcW w:w="50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(including 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Facilities-related and other allocated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7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thereto included elsewhere in this Quarterly Report on Form 10-Q (Quarterly Report). This discussion and other parts of this Quarterly Report contain forward-looking statements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those set forth under Part II, Item 1A, “Risk Factors”, of this Quarterly Report and elsewhere in this Quarterly Report. You should carefully read Part II, Item 1A, “Risk Factors”, of this Quarterly Report to gain an understanding of the important factors that could cause actual results to differ materially from our forward-looking statements. Please also see the section titled “Special Note Regarding Forward-Looking Statements” below.</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Quarterly Report contains forward-looking statements about us and our industry within the meaning of Section 21E of the Securities Exchange Act of 1934, as amended (the Exchange Act), and Section 27A of the Securities Act of 1933, as amended (the Securities Act), which statements involve substantial risks and uncertainties. Forward-looking statements generally relate to future events or our future financial or operating performance. All statements other than statements of historical facts contained in this Quarterly Report, including statements regarding our future results of operations and financial position, business strategy, product candidates, planned preclinical studies and clinical trials, results of preclinical studies and clinical trials, research and development plans and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“might,” “should,” “would,” “expects,” “plans,” “anticipates,” “could,” “intends,” “target,” “outlook,” “projects,” “forecast,” “contemplates,” “believes,” “estimates," “predicts,” “potential” or “continue” or the negative of these words or other similar terms or expressions that concern our expectations, strategy, plans or intentions, but the absence of these words does not mean that a statement is not forward-looking. Forward-looking statements contained in this Quarterly Report include, but are not limited to, statements about: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status and results of our preclinical studies, clinical trials and research and development programs for our product candidates, the timing and outcome of our regulatory interactions, our evaluation of potential future development plans and our anticipated timing for providing updates regarding our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demonstrate, and the timing of, preclinical proof-of-concept in vivo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address the clinical hold applicable to ARD-101, engage with regulatory authorities regarding potential future clinical development, commence future clinical trials if appropriate and successfully develop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our initial product candidates and to progress additional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of certain diseases and conditions we intend to treat and the size of the market opportunity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number of patients with certain diseases and conditions we intend to treat and the number of subjects that we intend to enroll in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of our clinical trials demonstrating safety and efficacy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including safety, efficacy and therapeutic effects, and potential advantages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future regulatory standards with respect to our product candidates,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additional indications that we may pursue;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 candidates or technologies with significant commercial potential that are consistent with our commercial objectives;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therapeutic benefits of our product candidates, if approved, and any other product candidates we may develop;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product candidates, research programs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developments related to our competitors and our industry;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ability to leverage the clinical, regulatory and manufacturing advancements to accelerate our clinical trials and regulatory approval of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enter into future license agreements and collaborations;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collaborations with third parties and our ability to attract collaborators with development, regulatory, manufacturing or commercialization expertise;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efficiently and cost-effectively conduct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clinical trials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sales strategy, manufacturing and commercializing our product candidates,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sales personnel, or to contract with a sales organization, if our product candidates are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regulatory and legal developments in the United States and foreign countries in which we may seek regulatory approval for our product candidates in the future;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internationally;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or anticipated financial performance;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product candidates,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including our ability to comply with our financial obligations pursuant to the terms of such agreements;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 or a smaller reporting company;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cash, cash equivalents and short-term investments resources, estimates of our expenses, capital requirements and needs for additional financing.</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We caution you that the forward-looking statements highlighted above do not encompass all of the forward-looking statements made in this Quarterly Report.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based the forward-looking statements contained in this Quarterly Report primarily on our current expectations and projections about future events and trends that we believe may affect our business, financial condition, results of operations or growth prospects. The outcome of the events described in these forward-looking statements is subject to risks, uncertainties and other factors described in Part II, Item 1A,“Risk Factors”, of this Quarterly Report, this Part I, Item 2, “Management’s Discussion and Analysis of Financial Condition and Results of Operations”, of this Quarterly Report and elsewhere in this Quarterly Report.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In addition, we cannot assess the impact of each factor on our business or the extent to which any factor, or combination of factors, may cause actual results to differ materially from those contained in any forward-looking statements. We cannot assure you that the results, events and circumstances reflected in the forward-looking statements will be achieved or occur, and actual results, events or circumstances could differ materially from those described in the forward-looking statements. You should, however, review the factors and risks we describe in the reports we will file from time to time with the Securities and Exchange Commission (SEC) after the date of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similarly qualified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Throughout this Quarterly Report, unless the context otherwise requires, the terms “Aardvark,” “we,” “us” and “our” in this Quarterly Report refer to Aardvark Therapeutics, Inc. and its subsidiaries.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clinical-stage biopharmaceutical company focused on developing novel, small-molecule therapeutics to activate innate homeostatic pathways for the treatment of metabolic diseases. We target biological pathways associated with alleviating hunger that we believe have the potential to deliver transformative outcomes for patients. We have focused our efforts on developing selective compounds, targeting Bitter Taste Receptors (TAS2Rs) for hunger-associated conditions. Our initial compounds target TAS2Rs at the luminal surface of the gut epithelium, which normally respond to the chemicals in food and participate in the gut-brain axis. Our research has shown that activating these receptors can induce the secretion of endogenous signaling molecules, including cholecystokinin (CCK), peptide YY (PYY) and glucagon-like peptide-1 (GLP-1).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TAS2Rs are a family of 26 different nutrient-sensing G protein-coupled receptors (GPCRs) that are broadly expressed among vertebrates. TAS2Rs are present in the oral cavity to convey bitter taste and are highly expressed in many other tissues throughout the body where they are key in regulating metabolic and inflammatory pathways. CCK has long been recognized as a promising pharmaceutical target because its release is triggered with food and it helps suppress hunger, which is the feeling of discomfort that comes from a perception of not having eaten recently. We believe suppression of hunger could be complementary to the suppression of appetite reported by patients on GLP-1 receptor targeted treatments, which reduce the desirability of food. Previous approaches to directly agonize CCK receptors through exogenous molecules have been limited by safety concerns driven by systemic exposure, resulting in on-target activity in undesired tissues and have been associated with pancreatic safety concerns, including pancreatitis. Our wholly-owned lead product candidate, ARD-101, is an oral, largely gut-restricted small-molecule agonist of certain TAS2Rs expressed on luminally accessible enteroendocrine cells lining the gut. ARD-101, in contrast to previous approaches to directly agonize CCK receptors, elicits the endogenous release of CCK by leveraging the body’s natural response to TAS2R agonism. To our knowledge, besides our product candidates, there are no approved therapies and no other clinical-stage candidates that directly target TAS2Rs.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ARD-101 has limited systemic absorption, which we believe reduces the potential for systemic toxicity and has contributed to ARD-101 being well-tolerated in our Phase 1 and 2 trials. We have completed a Phase 1 clinical trial of ARD-101 in healthy volunteers and a Phase 2 clinical trial in subjects with hyperphagia associated with Prader-Willi Syndrome (PWS). The Phase 2 clinical trial in hyperphagia associated with PWS evaluated two dosing regimens over 28 days followed by a 14-day withdrawal period. In Part 1 of the trial, 12 subjects completed the treatment period at a fixed dose of 200 mg delivered orally twice daily (BID). These 12 subjects that completed treatment had no significant treatment-related adverse events and, of these subjects, eight completed the Hyperphagia for Clinical Trial Questionnaire-9 (HQ-CT 9), with seven having complete post–database lock datasets. In this subgroup of seven, the mean decline at day 28 was approximately 9 points. In Part 2 of the trial, four subjects were dosed under a revised protocol: 400 mg BID for seven days, followed by 600 mg BID for seven days and ending with 800 mg BID for 14 days. The four subjects that completed the trial per protocol had only grade 1 treatment-related adverse events and showed a decrease in HQ-CT 9 of approximately eight points at 28 days. Thus, in our completed Phase 2 clinical trial in subjects with hyperphagia associated with PWS, ARD-101 was shown to be well-tolerated and demonstrated clinical activity through a reduction in Hyperphagia Questionnaire for Clinical Trials (HQ-CT) scores.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In the second quarter of 2025, we initiated dosing for a Phase 3 clinical trial for hyperphagia associated with PWS, which we refer to as the HERO (</w:t>
      </w:r>
      <w:r>
        <w:rPr>
          <w:rFonts w:ascii="Times New Roman" w:hAnsi="Times New Roman"/>
          <w:b/>
          <w:color w:val="000000"/>
          <w:sz w:val="20"/>
          <w:u w:val="single"/>
        </w:rPr>
        <w:t>H</w:t>
      </w:r>
      <w:r>
        <w:rPr>
          <w:rFonts w:ascii="Times New Roman" w:hAnsi="Times New Roman"/>
          <w:color w:val="000000"/>
          <w:sz w:val="20"/>
        </w:rPr>
        <w:t xml:space="preserve">unger </w:t>
      </w:r>
      <w:r>
        <w:rPr>
          <w:rFonts w:ascii="Times New Roman" w:hAnsi="Times New Roman"/>
          <w:b/>
          <w:color w:val="000000"/>
          <w:sz w:val="20"/>
          <w:u w:val="single"/>
        </w:rPr>
        <w:t>E</w:t>
      </w:r>
      <w:r>
        <w:rPr>
          <w:rFonts w:ascii="Times New Roman" w:hAnsi="Times New Roman"/>
          <w:color w:val="000000"/>
          <w:sz w:val="20"/>
        </w:rPr>
        <w:t xml:space="preserve">limination or </w:t>
      </w:r>
      <w:r>
        <w:rPr>
          <w:rFonts w:ascii="Times New Roman" w:hAnsi="Times New Roman"/>
          <w:b/>
          <w:color w:val="000000"/>
          <w:sz w:val="20"/>
          <w:u w:val="single"/>
        </w:rPr>
        <w:t>R</w:t>
      </w:r>
      <w:r>
        <w:rPr>
          <w:rFonts w:ascii="Times New Roman" w:hAnsi="Times New Roman"/>
          <w:color w:val="000000"/>
          <w:sz w:val="20"/>
        </w:rPr>
        <w:t xml:space="preserve">eduction </w:t>
      </w:r>
      <w:r>
        <w:rPr>
          <w:rFonts w:ascii="Times New Roman" w:hAnsi="Times New Roman"/>
          <w:b/>
          <w:color w:val="000000"/>
          <w:sz w:val="20"/>
          <w:u w:val="single"/>
        </w:rPr>
        <w:t>O</w:t>
      </w:r>
      <w:r>
        <w:rPr>
          <w:rFonts w:ascii="Times New Roman" w:hAnsi="Times New Roman"/>
          <w:color w:val="000000"/>
          <w:sz w:val="20"/>
        </w:rPr>
        <w:t xml:space="preserve">bjective) trial. We previously reached alignment with the FDA on a protocol for a Phase 3 clinical trial, which we initiated in December 2024. In August 2025, we submitted a protocol amendment to remove the use of anti-psychotics and insulin-requiring type 2 diabetes as exclusion criteria for the clinical trial. In October 2025, we reached alignment with the FDA on a protocol amendment to lower the minimum age of eligibility to participate in the trial from 13 to 10 years of age. This change broadened the eligible trial population and expanded the potential addressable opportunity within PWS. In December 2025, we submitted an additional protocol amendment seeking to further lower the minimum age of eligibility to participate in the trial to 7 years of age. During the third quarter of 2025, we commenced enrollment for the HERO Open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 Extension (OLE) trial, which was available to patients completing the HERO trial and we initiated our first clinical sites in Australia. In January 2026, we announced over 50% completion of the target enrollment of 90 patients in the HERO trial and within the first quarter of 2026, we initiated clinical sites in the UK, South Korea and Canada.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27, 2026, we voluntarily paused enrollment and dosing in the HERO and OLE trials for ARD-101, and the POWER and STRENGTH clinical trials for ARD-201, following reversible cardiac observations in a healthy volunteer study. Subsequently, the FDA placed the ARD-101 program on clinical hold in May 2026 and provided us with guidance for required human safety studies to resume clinical exploration of ARD-101 in PWS. We are continuing to evaluate available program-wide safety and efficacy data and executing on the FDA’s required safety studies to lift the clinical hold. In June 2026, we terminated the HERO and OLE clinical trials. We do not currently intend to resume these clinical trials as previously designed and are evaluating whether and how to pursue further clinical development of ARD-101 in PWS, including a potentially redesigned trial. The results of our ongoing evaluation and regulatory interactions will inform our assessment of potential future development plans for ARD-101. As a result, aspects of the trial design, development timeline and future clinical plans may change. We are assessing the unblinded clinical data accumulated to date across both the HERO trial and the OLE trial to assess the totality of available efficacy and safety data and to support an informed determination of next steps for the ARD-101 program. Our ability to advance the program is contingent upon several factors, including, without limitation: (i) the FDA’s removal of the clinical hold currently in place on ARD-101; (ii) our reaching alignment with the FDA on the design and protocol for a new clinical trial; (iii) our completion of additional analyses of the unblinded HERO trial data and other program data, and such data supporting the efficacy and safety profile necessary to justify continued development of ARD-101 in PWS; and (iv) our ability to raise sufficient capital to fund such a program. There can be no assurance that these conditions will be satisfied on the timeline we anticipate, or at all.</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second TAS2R program, ARD-201, was planned to be a fixed-dose combination of ARD-101 and a dipeptidyl peptidase-4 (DPP-4) inhibitor for the treatment of obesity and obesity-related conditions, including the prevention of weight regain following treatment with GLP-1 receptor agonists, which we believe may address an important unmet need in the long-term management of obesity. We previously initiated a Phase 2 clinical trial, which we referred to as the POWER (</w:t>
      </w:r>
      <w:r>
        <w:rPr>
          <w:rFonts w:ascii="Times New Roman" w:hAnsi="Times New Roman"/>
          <w:b/>
          <w:color w:val="000000"/>
          <w:sz w:val="20"/>
          <w:u w:val="single"/>
        </w:rPr>
        <w:t>P</w:t>
      </w:r>
      <w:r>
        <w:rPr>
          <w:rFonts w:ascii="Times New Roman" w:hAnsi="Times New Roman"/>
          <w:color w:val="000000"/>
          <w:sz w:val="20"/>
        </w:rPr>
        <w:t xml:space="preserve">revention </w:t>
      </w:r>
      <w:r>
        <w:rPr>
          <w:rFonts w:ascii="Times New Roman" w:hAnsi="Times New Roman"/>
          <w:b/>
          <w:color w:val="000000"/>
          <w:sz w:val="20"/>
          <w:u w:val="single"/>
        </w:rPr>
        <w:t>O</w:t>
      </w:r>
      <w:r>
        <w:rPr>
          <w:rFonts w:ascii="Times New Roman" w:hAnsi="Times New Roman"/>
          <w:color w:val="000000"/>
          <w:sz w:val="20"/>
        </w:rPr>
        <w:t xml:space="preserve">f </w:t>
      </w:r>
      <w:r>
        <w:rPr>
          <w:rFonts w:ascii="Times New Roman" w:hAnsi="Times New Roman"/>
          <w:b/>
          <w:color w:val="000000"/>
          <w:sz w:val="20"/>
          <w:u w:val="single"/>
        </w:rPr>
        <w:t>WE</w:t>
      </w:r>
      <w:r>
        <w:rPr>
          <w:rFonts w:ascii="Times New Roman" w:hAnsi="Times New Roman"/>
          <w:color w:val="000000"/>
          <w:sz w:val="20"/>
        </w:rPr>
        <w:t xml:space="preserve">ight </w:t>
      </w:r>
      <w:r>
        <w:rPr>
          <w:rFonts w:ascii="Times New Roman" w:hAnsi="Times New Roman"/>
          <w:b/>
          <w:color w:val="000000"/>
          <w:sz w:val="20"/>
          <w:u w:val="single"/>
        </w:rPr>
        <w:t>R</w:t>
      </w:r>
      <w:r>
        <w:rPr>
          <w:rFonts w:ascii="Times New Roman" w:hAnsi="Times New Roman"/>
          <w:color w:val="000000"/>
          <w:sz w:val="20"/>
        </w:rPr>
        <w:t>egain) trial, in December 2025, to explore the efficacy of ARD-201 in the prevention of weight regain among patients who have successfully lost over 15% of body weight on GLP-1RA therapy. In addition, we previously planned to initiate a second Phase 2 trial for ARD-201 in the first half of 2026, which we referred to as the STRENGTH (</w:t>
      </w:r>
      <w:r>
        <w:rPr>
          <w:rFonts w:ascii="Times New Roman" w:hAnsi="Times New Roman"/>
          <w:b/>
          <w:color w:val="000000"/>
          <w:sz w:val="20"/>
          <w:u w:val="single"/>
        </w:rPr>
        <w:t>S</w:t>
      </w:r>
      <w:r>
        <w:rPr>
          <w:rFonts w:ascii="Times New Roman" w:hAnsi="Times New Roman"/>
          <w:color w:val="000000"/>
          <w:sz w:val="20"/>
        </w:rPr>
        <w:t xml:space="preserve">itagliptin and </w:t>
      </w:r>
      <w:r>
        <w:rPr>
          <w:rFonts w:ascii="Times New Roman" w:hAnsi="Times New Roman"/>
          <w:b/>
          <w:color w:val="000000"/>
          <w:sz w:val="20"/>
          <w:u w:val="single"/>
        </w:rPr>
        <w:t>T</w:t>
      </w:r>
      <w:r>
        <w:rPr>
          <w:rFonts w:ascii="Times New Roman" w:hAnsi="Times New Roman"/>
          <w:color w:val="000000"/>
          <w:sz w:val="20"/>
        </w:rPr>
        <w:t xml:space="preserve">AS2R for weight </w:t>
      </w:r>
      <w:r>
        <w:rPr>
          <w:rFonts w:ascii="Times New Roman" w:hAnsi="Times New Roman"/>
          <w:b/>
          <w:color w:val="000000"/>
          <w:sz w:val="20"/>
          <w:u w:val="single"/>
        </w:rPr>
        <w:t>R</w:t>
      </w:r>
      <w:r>
        <w:rPr>
          <w:rFonts w:ascii="Times New Roman" w:hAnsi="Times New Roman"/>
          <w:color w:val="000000"/>
          <w:sz w:val="20"/>
        </w:rPr>
        <w:t xml:space="preserve">eduction with </w:t>
      </w:r>
      <w:r>
        <w:rPr>
          <w:rFonts w:ascii="Times New Roman" w:hAnsi="Times New Roman"/>
          <w:b/>
          <w:color w:val="000000"/>
          <w:sz w:val="20"/>
          <w:u w:val="single"/>
        </w:rPr>
        <w:t>E</w:t>
      </w:r>
      <w:r>
        <w:rPr>
          <w:rFonts w:ascii="Times New Roman" w:hAnsi="Times New Roman"/>
          <w:color w:val="000000"/>
          <w:sz w:val="20"/>
        </w:rPr>
        <w:t xml:space="preserve">xercise, </w:t>
      </w:r>
      <w:r>
        <w:rPr>
          <w:rFonts w:ascii="Times New Roman" w:hAnsi="Times New Roman"/>
          <w:b/>
          <w:color w:val="000000"/>
          <w:sz w:val="20"/>
          <w:u w:val="single"/>
        </w:rPr>
        <w:t>N</w:t>
      </w:r>
      <w:r>
        <w:rPr>
          <w:rFonts w:ascii="Times New Roman" w:hAnsi="Times New Roman"/>
          <w:color w:val="000000"/>
          <w:sz w:val="20"/>
        </w:rPr>
        <w:t xml:space="preserve">utrition, and </w:t>
      </w:r>
      <w:r>
        <w:rPr>
          <w:rFonts w:ascii="Times New Roman" w:hAnsi="Times New Roman"/>
          <w:b/>
          <w:color w:val="000000"/>
          <w:sz w:val="20"/>
          <w:u w:val="single"/>
        </w:rPr>
        <w:t>G</w:t>
      </w:r>
      <w:r>
        <w:rPr>
          <w:rFonts w:ascii="Times New Roman" w:hAnsi="Times New Roman"/>
          <w:color w:val="000000"/>
          <w:sz w:val="20"/>
        </w:rPr>
        <w:t xml:space="preserve">LP-1RA </w:t>
      </w:r>
      <w:r>
        <w:rPr>
          <w:rFonts w:ascii="Times New Roman" w:hAnsi="Times New Roman"/>
          <w:b/>
          <w:color w:val="000000"/>
          <w:sz w:val="20"/>
          <w:u w:val="single"/>
        </w:rPr>
        <w:t>T</w:t>
      </w:r>
      <w:r>
        <w:rPr>
          <w:rFonts w:ascii="Times New Roman" w:hAnsi="Times New Roman"/>
          <w:color w:val="000000"/>
          <w:sz w:val="20"/>
        </w:rPr>
        <w:t xml:space="preserve">rial and </w:t>
      </w:r>
      <w:r>
        <w:rPr>
          <w:rFonts w:ascii="Times New Roman" w:hAnsi="Times New Roman"/>
          <w:b/>
          <w:color w:val="000000"/>
          <w:sz w:val="20"/>
          <w:u w:val="single"/>
        </w:rPr>
        <w:t>H</w:t>
      </w:r>
      <w:r>
        <w:rPr>
          <w:rFonts w:ascii="Times New Roman" w:hAnsi="Times New Roman"/>
          <w:color w:val="000000"/>
          <w:sz w:val="20"/>
        </w:rPr>
        <w:t>unger assessment) trial. Because ARD-201 contains ARD-101 as a component of the planned combination therapy, the timing of further development of ARD-201 depends on the resolution of the clinical hold applicable to ARD-101 and future regulatory discussions regarding that program. We intend to provide updates regarding the ARD-101 program as appropriate.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preparation for these trials, we expanded our clinical management and regulatory capabilities, including hiring clinical, regulatory, chemistry, manufacturing and controls (CMC) and quality personnel, and expect to rely on third parties to conduct our later stage or pivotal clinical trials in the future. Following the clinical hold, we implemented a workforce reduction to align our organization and cost structure with our current operating priorities while maintaining the capabilities necessary to support our ongoing activities and potential future development plans for ARD-101.</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Beyond our lead product candidate, ARD-101, we are also developing other programs for the potential treatment of indications with high unmet need, including other indications mediated by TAS2R signaling.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we commenced operations in 2017, we have devoted substantially all of our resources to organizing and staffing our company, business planning, raising capital, discovering ARD-101, establishing and maintaining our intellectual property portfolio, conducting research, preclinical studies, and clinical trials, manufacturing ARD-101 and related raw materials, and providing general and administrative support for these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incurred significant net losses and negative cash flows from operations since our inception and, as of June 30, 2026, we had an accumulated deficit of $151.9 million. Our net losses for the six months ended June 30, 2026 and 2025 were $36.0 million and $23.7 million, respectively. We expect our net losses to continue for the foreseeable future as we: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activities supporting our regulatory strategy for ARD-101 and evaluate potential future development plans;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clinical trials and preclinical studies;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development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third parties to manufacture ARD-101 and our other product candidates and related raw materials;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selectively expand personnel and capabilities as appropriate to support our revised operating priorities and future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experience any delays, challenges, or other issues associated with the clinical development of our product candidates, including with respect to our regulatory strategies.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obtain regulatory approval for any of our product candidates, we expect to incur significant commercialization expenses related to product sales, marketing, manufacturing, and distribution. Our net losses may fluctuate significantly from quarter-to-quarter and year-to-year, depending on the timing of and level of expense related to our clinical trials and preclinical studies and our other research and development activities and capital expenditures and the timing and amount of any milestone or royalty payments due under our existing or future license or collaboration agreements.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inception and up to the date of our initial public offering (IPO) in February 2025, we had raised a total of $129.1 million in gross proceeds to fund our operations from the sale and issuance of shares of our convertible preferred stock. In February 2025, we completed our IPO with the sale of 6,120,661 shares of common stock, which included the partial exercise by the underwriters of their option to purchase 232,661 additional shares, at an IPO price of $16.00 per share and received net proceeds of approximately $87.5 million. As of June 30, 2026, we had cash, cash equivalents and short-term investments of $73.9 million. Based upon our current operating plans, we believe that our existing cash, cash equivalents and short-term investments will be sufficient to fund our projected operations into late 2027. However, our forecast of the period of time through which our financial resources will be adequate to support our operations is a forward-looking statement that involves risks and uncertainties, and actual results could vary materially. In February 2026, we voluntarily paused enrollment and dosing in the Phase 3 HERO trial and the OLE trial for ARD-101, and the POWER and STRENGTH clinical trials for ARD-201 based on reversible cardiac observations in a healthy volunteer study of ARD-101. Subsequently, the FDA placed the ARD-101 program on clinical hold in May 2026 and we terminated the HERO and OLE clinical trials in June 2026. The termination of these trials, the clinical hold applicable to the ARD-101 program and our revised operating plan may affect the timing and amount of our future expenditures and our need for additional capital, depending on the outcome of our ongoing regulatory activities and interactions with the FDA.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do not have any products approved for sale and have not generated any revenue to date. We do not expect to generate any revenue from product sales until we successfully complete development and obtain regulatory approval for one or more of our product candidates, which we expect will take a number of years and may never occur. We will need substantial additional funding in addition to the net proceeds of our IPO to support our continuing operations and pursue our long-term business plan, including to complete the development and commercialization of ARD-101 and our other product candidates, if approved. Accordingly, until such time as we can generate significant revenue from sales of ARD-101 or our other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our product candidates that we would otherwise prefer to develop and market ourselves.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rely, and expect to continue to rely, on third parties for the manufacture of ARD-101 and our other product candidates for preclinical and clinical testing, as well as for commercial manufacture if ARD-101 or any of our other product candidates obtain marketing approval. We are working with our current manufacturers and certain third parties to ensure that we will be able to scale up our manufacturing capabilities to support our clinical plans. In addition, we rely on third parties to package, label, store, and distribute ARD-101,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ARD-101 and our other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yet built out a marketing or sales organization or commercial infrastructure. We intend to build the necessary sales, marketing and commercialization capabilities and infrastructure over time as our product candidates advance through clinical development if and when our product candidates advance through clinical development and receive regulatory approval. We expect to spend a significant amount in commercial development and marketing costs prior to obtaining regulatory and marketing approval of one or more of our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be affected by unfavorable economic conditions and challenges in the United States and abroad, such as the effects of the ongoing conflicts in the Middle East, including the war in Iran and its surrounding regions, and between Russia and Ukraine,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against Russia, the instability in Venezuela, disruptions in the banking industry and inflationary trends. The first half of fiscal year 2026 and fiscal years 2025 and 2024 were marked by significant market uncertainty and increasing inflationary pressures. These market dynamics are expected to continue for the remainder of 2026, and these and similar adverse market conditions may negatively impact our business, financial position, results of operations and growth prospects. For further discussion of the potential impacts of macroeconomic events on us, refer to Part II, Item 1A, “Risk Factors”, of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date, we have not generated any revenue from the sale of products. We do not expect to generate any such revenue unless and until such time as ARD-101 and our other product candidates have advanced through clinical development and regulatory approval, if ever. If we fail to complete preclinical and clinical development of any product candidates or obtain regulatory approval for them, our ability to generate future revenues and our results of operations and financial position would be adversely affected.</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and development (R&amp;D) expenses consist primarily of external and internal costs incurred in performing preclinical and clinical development activities.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research and development expenses consist principally of:</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including:</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CROs and consultants in connection with our preclinical studies, toxicology and clinical trials;</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manufacturing materials for our preclinical studies and clinical trials;</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fees;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costs, including:</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costs such as salaries, bonuses, payroll taxes, employee benefits, travel, and stock-based compensation expense for employees involved in research and development efforts; and</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facilities-related costs, depreciation and other allocated expenses, which include direct and allocated expenses for rent, maintenance of facilities, insurance, equipment, and other supplies and services.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do not track our research and development expenses on a program-specific basis or allocate our internal costs associated with our discovery and development efforts because these costs are deployed across multiple programs and, as such, are not separately classified. Since our inception and through June 30, 2026, substantially all of our external costs have been related to the research and development of ARD-101.</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R&amp;D activities are central to our business model, the successful development of ARD-101 and our other product candidates is highly uncertain. We cannot determine with certainty the timing of initiation, the duration or the completion costs of current or future preclinical studies and clinical trials of ARD-101 or any other current or future product candidates due to the inherently unpredictable nature of preclinical and clinical development. There are numerous factors associated with the successful development of a product candidate,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In the near-term, while we resolve the clinical hold and future development plans for ARD-101, we expect our R&amp;D expenses to decrease over levels of comparative periods of the prior year.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At this time, we cannot accurately estimate or know the nature, timing and costs of the efforts that will be necessary to complete the preclinical and clinical development of any of our product candidates. Our future R&amp;D expenses may vary significantly based on a wide variety of factors such 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rate of progress, expense and results of our discovery and preclinical activities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additional safety monitoring requested by regulatory agencies;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manufacturing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of development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changes in government regulation and regulatory guidance;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approvals from applicable regulatory authorities, including resolution of any clinical holds;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establish collaboration, license, or other arrangements.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change in the outcome of any of these variables with respect to development of any of our product candidates could significantly change the costs and timing associated with the development of that product candidate.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process of conducting the necessary preclinical and clinical research to obtain regulatory approval is costly and time-consuming. The actual probability of success for ARD-101 or any other current or future product candidates may be affected by a variety of factors. We may never succeed in achieving regulatory approval for any of our product candidates. Preclinical and clinical development timelines, the probability of success, and total development costs can differ materially from expectations. We anticipate that we will make determinations as to which product candidates to pursue and how much funding to direct to each product candidate on an ongoing basis in response to the results of future preclinical studies and clinical trials, regulatory developments, and our ongoing assessments as to each product candidate's commercial potential. We will need to raise substantial additional capital in the future. In addition, we cannot forecast which product candidate may be subject to future collaborations, when such arrangements will be secured, if at all, and to what degree such arrangements would affect our development plans and capital requirements.</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general and administrative (G&amp;A) expenses consist primarily of personnel-related costs such as salaries, bonuses, payroll taxes, employee benefits, travel, and stock-based compensation expense for employees involved in executive, accounting and finance, legal, and other administrative functions. Other significant costs include allocated facility-related costs, legal fees relating to intellectual property and corporate matters, professional fees for accounting and consulting services, insurance costs, and business development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near-term, we expect our G&amp;A expenses to decrease from the levels of the comparative periods of the prior year, reflecting the reduced scope of our operations while we determine next steps for the ARD-101 program. If we determine to advance the ARD-101 program and are able to obtain additional financing to do so, we expect our general and administrative expenses to increase as we support our operations as a public company and our research and development activities. </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(expense), net consists primarily of interest income earned on our invested cash and cash equivalents, dividend income and changes in the fair value of equity securities held as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for each of the periods indicated:</w:t>
      </w:r>
    </w:p>
    <w:p>
      <w:pPr>
        <w:pStyle w:val="TextBody"/>
        <w:bidi w:val="0"/>
        <w:jc w:val="left"/>
        <w:rPr/>
      </w:pPr>
      <w:r>
        <w:rPr/>
        <w:t> </w:t>
      </w:r>
    </w:p>
    <w:tbl>
      <w:tblPr>
        <w:tblW w:w="6028" w:type="dxa"/>
        <w:jc w:val="left"/>
        <w:tblInd w:w="0" w:type="dxa"/>
        <w:tblLayout w:type="fixed"/>
        <w:tblCellMar>
          <w:top w:w="28" w:type="dxa"/>
          <w:left w:w="28" w:type="dxa"/>
          <w:bottom w:w="28" w:type="dxa"/>
          <w:right w:w="28" w:type="dxa"/>
        </w:tblCellMar>
      </w:tblPr>
      <w:tblGrid>
        <w:gridCol w:w="2311"/>
        <w:gridCol w:w="146"/>
        <w:gridCol w:w="211"/>
        <w:gridCol w:w="736"/>
        <w:gridCol w:w="166"/>
        <w:gridCol w:w="146"/>
        <w:gridCol w:w="211"/>
        <w:gridCol w:w="736"/>
        <w:gridCol w:w="166"/>
        <w:gridCol w:w="146"/>
        <w:gridCol w:w="211"/>
        <w:gridCol w:w="63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ind w:left="490" w:right="0" w:hanging="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R&amp;D expenses for each of the periods indicated:</w:t>
      </w:r>
    </w:p>
    <w:p>
      <w:pPr>
        <w:pStyle w:val="TextBody"/>
        <w:bidi w:val="0"/>
        <w:jc w:val="left"/>
        <w:rPr/>
      </w:pPr>
      <w:r>
        <w:rPr/>
        <w:t> </w:t>
      </w:r>
    </w:p>
    <w:tbl>
      <w:tblPr>
        <w:tblW w:w="8358" w:type="dxa"/>
        <w:jc w:val="left"/>
        <w:tblInd w:w="0" w:type="dxa"/>
        <w:tblLayout w:type="fixed"/>
        <w:tblCellMar>
          <w:top w:w="28" w:type="dxa"/>
          <w:left w:w="28" w:type="dxa"/>
          <w:bottom w:w="28" w:type="dxa"/>
          <w:right w:w="28" w:type="dxa"/>
        </w:tblCellMar>
      </w:tblPr>
      <w:tblGrid>
        <w:gridCol w:w="4721"/>
        <w:gridCol w:w="146"/>
        <w:gridCol w:w="211"/>
        <w:gridCol w:w="676"/>
        <w:gridCol w:w="146"/>
        <w:gridCol w:w="146"/>
        <w:gridCol w:w="211"/>
        <w:gridCol w:w="676"/>
        <w:gridCol w:w="146"/>
        <w:gridCol w:w="146"/>
        <w:gridCol w:w="211"/>
        <w:gridCol w:w="631"/>
        <w:gridCol w:w="291"/>
      </w:tblGrid>
      <w:tr>
        <w:trPr/>
        <w:tc>
          <w:tcPr>
            <w:tcW w:w="4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Personnel-related (including 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Facilities-related (including depreciation) and other</w:t>
              <w:br/>
              <w:t>   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R&amp;D expenses were $10.5 million and $13.1 million for the three months ended June 30, 2026 and 2025, respectively. The $2.7 million decrease for the three months ended June 30, 2026 as compared to the three months ended June 30, 2025 resulted primarily from a decrease of $3.3 million for external expenses incurred for CMC, clinical and toxicology studies primarily related to the development of ARD-101 as a result of the voluntary pause of all of our clinical trials and the subsequent clinical hold on our IND for ARD-101, offset by a $0.7 million increase in personnel-related costs due to increased headcount and bonuses prior to the workforce reduction.</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General and Administrative (G&amp;A)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G&amp;A expenses were $4.6 million and $2.7 million for the three months ended June 30, 2026 and 2025, respectively. The $1.9 million increase for the three months ended June 30, 2026 as compared to the three months ended June 30, 2025 included additional public company operating costs and resulted primarily from an increase in personnel-related costs due to year-over-year increased headcount prior to the workforce reduction associated with the voluntary pause of all of our clinical trials and the subsequent clinical hold on our IND for ARD-101, bonuses and $0.5 million in severance expense.</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net was $0.7 million and $1.5 million for the three months ended June 30, 2026 and 2025, respectively. The $0.8 million decrease for the three months ended June 30, 2026 as compared to the three months ended June 30, 2025 resulted from lower interest income generated by our lower invested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for each of the periods indicated:</w:t>
      </w:r>
    </w:p>
    <w:p>
      <w:pPr>
        <w:pStyle w:val="TextBody"/>
        <w:bidi w:val="0"/>
        <w:spacing w:before="120" w:after="283"/>
        <w:ind w:left="0" w:right="0" w:firstLine="490"/>
        <w:jc w:val="left"/>
        <w:rPr/>
      </w:pPr>
      <w:r>
        <w:rPr/>
        <w:t> </w:t>
      </w:r>
    </w:p>
    <w:tbl>
      <w:tblPr>
        <w:tblW w:w="6533" w:type="dxa"/>
        <w:jc w:val="left"/>
        <w:tblInd w:w="0" w:type="dxa"/>
        <w:tblLayout w:type="fixed"/>
        <w:tblCellMar>
          <w:top w:w="28" w:type="dxa"/>
          <w:left w:w="28" w:type="dxa"/>
          <w:bottom w:w="28" w:type="dxa"/>
          <w:right w:w="28" w:type="dxa"/>
        </w:tblCellMar>
      </w:tblPr>
      <w:tblGrid>
        <w:gridCol w:w="2511"/>
        <w:gridCol w:w="346"/>
        <w:gridCol w:w="211"/>
        <w:gridCol w:w="736"/>
        <w:gridCol w:w="166"/>
        <w:gridCol w:w="146"/>
        <w:gridCol w:w="211"/>
        <w:gridCol w:w="736"/>
        <w:gridCol w:w="166"/>
        <w:gridCol w:w="146"/>
        <w:gridCol w:w="211"/>
        <w:gridCol w:w="736"/>
        <w:gridCol w:w="211"/>
      </w:tblGrid>
      <w:tr>
        <w:trPr/>
        <w:tc>
          <w:tcPr>
            <w:tcW w:w="2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ind w:left="490" w:right="0" w:hanging="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R&amp;D expenses for each of the periods indicated:</w:t>
      </w:r>
    </w:p>
    <w:p>
      <w:pPr>
        <w:pStyle w:val="TextBody"/>
        <w:bidi w:val="0"/>
        <w:jc w:val="left"/>
        <w:rPr/>
      </w:pPr>
      <w:r>
        <w:rPr/>
        <w:t> </w:t>
      </w:r>
    </w:p>
    <w:tbl>
      <w:tblPr>
        <w:tblW w:w="8598" w:type="dxa"/>
        <w:jc w:val="left"/>
        <w:tblInd w:w="0" w:type="dxa"/>
        <w:tblLayout w:type="fixed"/>
        <w:tblCellMar>
          <w:top w:w="28" w:type="dxa"/>
          <w:left w:w="28" w:type="dxa"/>
          <w:bottom w:w="28" w:type="dxa"/>
          <w:right w:w="28" w:type="dxa"/>
        </w:tblCellMar>
      </w:tblPr>
      <w:tblGrid>
        <w:gridCol w:w="4821"/>
        <w:gridCol w:w="346"/>
        <w:gridCol w:w="211"/>
        <w:gridCol w:w="676"/>
        <w:gridCol w:w="146"/>
        <w:gridCol w:w="146"/>
        <w:gridCol w:w="211"/>
        <w:gridCol w:w="676"/>
        <w:gridCol w:w="146"/>
        <w:gridCol w:w="146"/>
        <w:gridCol w:w="211"/>
        <w:gridCol w:w="571"/>
        <w:gridCol w:w="291"/>
      </w:tblGrid>
      <w:tr>
        <w:trPr/>
        <w:tc>
          <w:tcPr>
            <w:tcW w:w="48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br/>
              <w: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Facilities-related (including depreciation) and other</w:t>
              <w:br/>
              <w:t>   allocated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internal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R&amp;D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R&amp;D expenses were $27.0 million and $20.9 million for the six months ended June 30, 2026 and 2025, respectively. The $6.1 million increase for the six months ended June 30, 2026 as compared to the six months ended June 30, 2025 resulted primarily from an increase of $3.8 million for external expenses incurred for CMC, clinical and toxicology studies primarily related to the development of ARD-101 and a $2.3 million increase in personnel-related costs due primarily to increased headcount prior to the workforce reduction.</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General and Administrative (G&amp;A)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G&amp;A expenses were $10.5 million and $5.4 million for the six months ended June 30, 2026 and 2025, respectively. The $5.1 million increase for the six months ended June 30, 2026 as compared to the six months ended June 30, 2025 primarily resulted from a $4.0 million increase in personnel-related costs, a $0.4 million increase in facilities and other costs, and a $0.7 million increase in legal and other professional costs. The increase in non-facilities costs was partially related to commencing operations as a public company in February 2025.</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net was $1.6 million and $2.6 million for the six months ended June 30, 2026 and 2025, respectively. The $1.1 million decrease for the six months ended June 30, 2026 as compared to the six months ended June 30, 2025 resulted primarily from lower interest income generated by our lower invested balances.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not generated any revenue from product sales and have incurred net losses and negative cash flows from operations since our inception and anticipate we will continue to incur net losses for the foreseeable future. From inception and up to the date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IPO in February 2025, we had raised a total of $129.1 million in gross proceeds to fund our operations from the sale and issuance of shares of our convertible preferred stock. In February 2025, we completed our IPO with the sale of 6,120,661 shares of common stock, which included the partial exercise by the underwriters of their option to purchase 232,661 additional shares, at an IPO price of $16.00 per share and received net proceeds of $87.5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 No. 333-294537) that became effective on April 3, 2026, which allows us to undertake various equity and debt offerings up to $400.0 million. In addition, on March 23, 2026, we entered into an Equity Distribution Agreement with Piper Sandler &amp; Co. (the "Agent'), pursuant to which we may offer and sell from time to time through the Agent up to $150.0 million in shares of our common stock (the "ATM Facility"). We are not obligated to sell any shares under the Equity Distribution Agreement, and the Agent is not obligated to buy or sell any shares of our common stock. We cannot provide any assurance that we will sell any shares under the Equity Distribution Agreement, or, if we do, as to the prices, amounts, or timing of any such sales. As of June 30, 2026, we have not sold any shares of common stock under the ATM Facility.</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$73.9 million. Based upon our current operating plans, we believe that our existing cash, cash equivalents and short-term investments will be sufficient to fund our projected operations into late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and testing product candidates in clinical trials is costly, and the timing of progress and expenses in these studies and trials is uncertain. In February 2026, we voluntarily paused enrollment and dosing in our Phase 3 HERO trial and the OLE trial for ARD-101, and the POWER and STRENGTH clinical trials for ARD-201. Subsequently, the FDA placed the ARD-101 program on clinical hold in May 2026. The clinical hold applicable to the ARD-101 program and our revised operating plan may affect the timing and amount of our future expenditures and our need for additional capital, depending on the outcome of our ongoing regulatory activities and interactions with the FDA.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incurred significant operating losses since our inception and, as of June 30, 2026, we had an accumulated deficit of $151.9 million. We expect to continue to incur operating losses for the foreseeable future.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capital requirements are difficult to predict and depend on many factors, including but not limited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type, number, scope, progress, expansions, results, costs, and timing of clinical trials and preclinical studies of our current and future product candidates, including the costs of any third-party products used as combination agents in our combination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our product candidates, including commercial manufacture at sufficient scale, if any product candidate is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meetings and reviews of our product candidates, including resolution of any clinical holds;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obtaining, maintaining, enforcing, and protecting our patents and other intellectual property and proprietary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maintain the operational capabilities necessary to satisfy our obligations as a public company and support our regulatory activities and potential future development plans, including enhanced internal control over financial reporting;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maintaining and selectively expanding personnel and consultant resources as appropriate to support our regulatory strategy and future development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payment of milestone, royalty or other payments we must make pursuant to our existing and potential future license or collaboration agreements with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or securing sales and marketing capabilities if any product candidates are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products or technologies that we may in-license or acquire;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competing technological and market developments as well as disruptions to and volatility in the credit and financial markets.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product candidates, research programs, intellectual property or proprietary technology, or grant licenses on terms that may not be favorable to us. If we are unable to raise additional funds through equity or debt financings or other arrangements when needed, we may be required to delay, limit, reduce, or terminate our R&amp;D programs or other operations, or grant rights to develop and market our product candidates to third parties that we would otherwise prefer to develop and market ourselves, or on less favorable terms than we would otherwise choose.</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cash flows for each of the periods indicated:</w:t>
      </w:r>
    </w:p>
    <w:p>
      <w:pPr>
        <w:pStyle w:val="TextBody"/>
        <w:bidi w:val="0"/>
        <w:jc w:val="left"/>
        <w:rPr/>
      </w:pPr>
      <w:r>
        <w:rPr/>
        <w:t> </w:t>
      </w:r>
    </w:p>
    <w:tbl>
      <w:tblPr>
        <w:tblW w:w="7669" w:type="dxa"/>
        <w:jc w:val="left"/>
        <w:tblInd w:w="0" w:type="dxa"/>
        <w:tblLayout w:type="fixed"/>
        <w:tblCellMar>
          <w:top w:w="28" w:type="dxa"/>
          <w:left w:w="28" w:type="dxa"/>
          <w:bottom w:w="28" w:type="dxa"/>
          <w:right w:w="28" w:type="dxa"/>
        </w:tblCellMar>
      </w:tblPr>
      <w:tblGrid>
        <w:gridCol w:w="4401"/>
        <w:gridCol w:w="346"/>
        <w:gridCol w:w="211"/>
        <w:gridCol w:w="736"/>
        <w:gridCol w:w="366"/>
        <w:gridCol w:w="346"/>
        <w:gridCol w:w="211"/>
        <w:gridCol w:w="841"/>
        <w:gridCol w:w="211"/>
      </w:tblGrid>
      <w:tr>
        <w:trPr/>
        <w:tc>
          <w:tcPr>
            <w:tcW w:w="4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operating activities was $36.5 million and $21.2 million for the six months ended June 30, 2026 and 2025, respectively. The net cash used in operating activities during the six months ended June 30, 2026 was primarily due to our reported net loss of $36.0 million, net of non-cash items (including unrealized losses on short-term investments, stock-based compensation expense, non-cash lease expense and amortization of discount on short-term investments) totaling $4.0 million and a $4.5 million net increase of our net operating assets. The net cash used in operating activities during the six months ended June 30, 2025 was primarily due to our reported net loss of $23.7 million, net of non-cash charges (including unrealized losses on short-term investments, stock-based compensation expense, non-cash lease expense and amortization of discount on short-term investments) totaling $0.4 million and a $2.0 million net decrease of our net operating assets. The increase in cash used in operations during the six months ended June 30, 2026 in comparison to the six months ended June 30, 2025 was primarily attributable to increased research and development and supporting activities.</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investing activities during the six months ended June 30, 2026 was $63.0 million resulting from the sales and maturities of short-term investments during the period. Net cash used in investing activities was $103.2 million during the six months ended June 30, 2025 primarily as a result of the purchase of short-term investments during the period, offset by maturities of short-term investments during the period. </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financing activities during the six months ended June 30, 2026 was $0.3 million resulting from the sale of common stock under our employee equity plans. Net cash provided by financing activities during the six months ended June 30, 2025 was $88.8 million and resulted primarily from the proceeds from the sale and issuance of shares of our common stock in our IPO in February 2025 for proceeds of $91.1 million, offset by payments for IPO costs of $2.4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material changes to our contractual obligations and other commitments from those described in “Management’s Discussion and Analysis of Financial Condition and Results of Operations – Contractual Obligations and Other Commitments” included in our Annual Report on Form 10-K filed with the SEC on March 23,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normal course of our business, we enter into contracts for research and professional services, and for the purchase of lab supplies used in our research activities. These contracts generally provide for termination after a notice period, and, therefore, are cancelable contracts and not separately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accordance with U.S. generally accepted accounting principles. The preparation of these condensed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accrued expenses and stock-based compensation expense.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“Management’s Discussion and Analysis of Financial Condition and Results of Operations – Critical Accounting Estimates” included in our Annual Report on Form 10-K filed with the SEC on March 23, 2026.</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cash and cash equivalents consist of cash held in readily available checking and money market accounts, as well as short-term debt securities. We are exposed to market risk related to fluctuations in interest rates and market prices. Our primary exposure to market risk is interest rate sensitivity, which is affected by changes in the general level of U.S. interest rates. However, because of the short-term nature of the instruments in our portfolio, we do not believe a hypothetical 100 basis point increase or decrease in interest rates during any of the periods presented would have had a material impact on our unaudited condensed consolidated financial statements included elsewhere in this Quarterly Report.</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realized and unrealized gains and losses from foreign currency transactions are reported in other income (expense), net, in the unaudited condensed consolidated statements of operations and comprehensive loss. All of our employees and our operations are currently located in the United States and our expenses are generally denominated in U.S. dollars. However, we have contracted with and may continue to contract with non-U.S. vendors who we may pay in local currency. To date, the impact of foreign currency costs on our operations has been negligible for all periods presented and we have not had a formal hedging program with respect to foreign currency. Therefore, we do not believe a hypothetical 100 basis point increase or decrease in exchange rates during any of the periods presented would have had a material impact on our unaudited condensed consolidated financial statements included elsewhere in this Quarterly Report.</w:t>
      </w:r>
    </w:p>
    <w:p>
      <w:pPr>
        <w:pStyle w:val="TextBody"/>
        <w:bidi w:val="0"/>
        <w:spacing w:before="360" w:after="283"/>
        <w:ind w:left="490" w:right="0" w:hanging="0"/>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has had a material effect on our results of operations during the periods presented.</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responsible for maintaining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Exchange Act is accumulated and communicated to our management, including our principal executive officer and our principal financial officer, as appropriate to allow timely decisions regarding required disclosure.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Based on our management’s evaluation (with the participation of our principal executive officer and our principal financial officer) of our disclosure controls and procedures as required by Rule 13a-15 under the Exchange Act, our principal executive officer and our principal financial officer have concluded that our disclosure controls and procedures were effective at the reasonable level of assurance as of June 30, 2026, the end of the period covered by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financial condition or results of operations.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An investment in our common stock involves a high degree of risk. In deciding whether to invest, you should carefully consider and read the following risk factors, as well as the financial and other information contained in this Quarterly Report, including in Part I, Item 2, “Management’s Discussion and Analysis of Financial Condition and Results of Operations”, of this Quarterly Report and in our unaudited condensed consolidated financial statements and related notes thereto included elsewhere in this Quarterly Report. The risk factors set forth below with an asterisk (*) next to the title contain changes to the description of the risk factors associated with our business previously disclosed in Item 1A of our Annual Report on Form 10-K for the year ended December 31, 2025. Any of the following risks could have a material adverse effect on our business, financial condition, results of operations or prospects and cause the value of our common stock to decline, which could cause you to lose all or part of your investment. The risks described below are not the only ones facing us. Additional risks and uncertainties of which we are unaware, or that we currently deem immaterial also may become important factors that affect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which may make it difficult for an investor to evaluate the success of our business to date and to assess our future viability.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heavily dependent on the successful development, regulatory approval and commercialization of our lead product candidate, ARD-101.</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and comparable foreign regulatory authorities are lengthy, time-consuming and inherently unpredictable. If we are not able to obtain required regulatory approval for our product candidates, our business will be substantially harmed.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timelines and outcomes, and results of earlier studies and trials may not be predictive of future trial results. If development of our product candidates is unsuccessful or delayed, we may be unable to obtain required regulatory approvals and we may be unable to commercialize our product candidates on a timely basis, if at all.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disorders we seek to treat, such as PWS, have low prevalence and it may be difficult to identify and enroll patients with these disorders. If we encounter difficulties or delays enrolling subjects in our clinical trials, our clinical development activities could be delayed or otherwise adversely affected.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safety and efficacy of our product candidates, or serious adverse events or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limited resources to pursue a particular product candidate or indication and fail to capitalize on projects, initiatives, product candidates or indications that may be more profitable or for which there is a greater likelihood of success.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clinical drug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or comparable regulatory authorities, fail to provide us with sufficient quantities of drug product or fail to do so at acceptable quality levels or prices.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and enforce intellectual property protection directed to our current and any future technologies that we develop, others may be able to make, use or sell product candidates substantially the same as ours, which could adversely affect our ability to compete in the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a smaller than expected commercial opportunity and/or others discovering, developing or commercializing products before or more successfully than we do.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Limited Operating History, Financial Condition and Capital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which may make it difficult for an investor to evaluate the success of our business to date and to assess our future viability.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Biopharmaceutical product development is a highly speculative undertaking and involves a substantial degree of risk. We are a clinical-stage biopharmaceutical company with a limited operating history, which may make it difficult to evaluate the success of our business to date and assess our future viability. Since our inception in 2017, we have focused primarily on organizing and staffing our company, business planning, establishing our intellectual property portfolio, raising capital, identifying and developing our product candidates, conducting preclinical studies and, more recently, clinical trials, and providing general and administrative support for these operations. To date, we have not yet demonstrated our ability to successfully obtain regulatory approvals, manufacture a product on a commercial scale, or arrange for a third party to do so on our behalf, or conduct sales and marketing activities necessary for successful commercialization. Our approach to the discovery and development of product candidates is unproven, and we do not know whether we will be able to develop any products of commercial value. Consequently, any predictions made about our future success or viability may not be as accurate as they could be if we had a longer operating history or a history of successfully developing and commercializing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We may also need to transition from a company with a research focus to a company capable of supporting commercial activities. Our inability to adequately address these risks and difficulties or successfully make such a transition could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expect to incur losses over the next several years and may never achieve or maintain profitability.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operating losses for at least the next several years. For the six months ended June 30, 2026 and 2025, we reported a net loss of $36.0 million and $23.7 million, respectively. As of June 30, 2026, we had an accumulated deficit of $151.9 million. Substantially all of our losses have resulted from expenses incurred in connection with our research and development programs and from general and administrative costs associated with our operations. ARD-101 will require substantial additional development time and resources before we would be able to apply for or receive marketing approvals and begin generating revenue from product sales, particularly following our voluntary pause of our partially completed Phase 3 clinical trial (HERO trial) of ARD-101 for hyperphagia associated with Prader-Willi Syndrome (PWS), as we now must first complete the unblinding and analysis of program-wide data related to the partially completed HERO trial, develop additional clinical study protocols and evaluate updates to our program-wide safety strategy in order to support future discussions with the FDA regarding potential next steps for the ARD-101 clinical development program in PWS. In June 2026, we terminated the HERO trial and the OLE trial and do not currently intend to resume these clinical trials as previously designed. We expect to continue to incur losses for the foreseeable future as we: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 any new clinical trials of ARD-101 as well as initiate and complete additional clinical trials for other product candidates and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preclinical studies;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clinical and preclinical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up our clinical, operational, regulatory and quality assurance capabilities;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commercialization infrastructure and scale up external manufacturing and distribution capabilities to commercialize any product candidates for which we may obtain regulatory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 our regulatory compliance efforts to incorporate requirements applicable to marketed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manufacturing, regulatory, quality assurance and scientific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and other expenses in operating as a public company.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development and other expenditures to develop and market additional product candidates. If we fail to become and remain profitable, it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development of biopharmaceutical product candidates is capital-intensive. Upon a positive resolution of the clinical hold and a successful financing, we would expect our expenses to increase substantially in connection with our ongoing and planned activities, particularly as we conduct our planned preclinical studies and commence any new clinical trials of ARD-101 and our other product candidates and programs, and any future product candidates we may develop. Our expenses will increase substantially if our product candidates successfully complete early clinical and other studies and also could increase beyond expectations if the FDA or comparable foreign regulatory authorities require us to perform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will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approximately $73.9 million. Based on our current operating plan, we believe that our existing cash, cash equivalents and short-term investments will be sufficient to fund our projected operations into late 2027. We have based these estimates on assumptions that may prove to be wrong, and we could use our capital resources sooner than we currently expect. Our operating plan may change as a result of many factors currently unknown to us, including the completion of the assessment of the unblinded data and further discussions with the FDA following analysis of such data, and we may need to seek additional funds sooner than planned, through equity offerings, debt financings or other capital sources, including potential grants, collaborations, licenses and other similar arrangements. Even if we believe we have sufficient capital for our current or future operating plans, we may seek additional capital if market conditions are favorable or if we have specific strategic considerations. Such financing may result in dilution to our stockholders, imposition of burdensome debt covenants and repayment obligations, or other restrictions that may affect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capital requirements depend on many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timing, costs, progress, and results of our planned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FDA or comparable foreign regulatory authorities accept our clinical trial designs and development, data from our planned preclinical studies and clinical trials and other work as the basis for review and approval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develop, in-license or acquire other product candidates and technology;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costs and outcome of seeking, obtaining and, if applicable, maintaining, FDA and comparable foreign regulatory approvals;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pursue;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pre-commercial activities and, if approved, commercialization activities related to our product candidates, including marketing, sales and distribution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associated with manufacturing our product candidates and establishing commercial supplies and sales, marketing and distribution capabilities;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building or contracting a sales force in anticipation of commercialization;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identify and retain key management and hire scientific, technical, business, clinical and clinical operations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and to validate large-scale data and document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our product candidates, if approved;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unforeseen liabilities and payment milestones for current and future in-licensed programs.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 No. 333-294537) that became effective on April 3, 2026, which allows us to undertake various equity and debt offerings up to $400.0 million. In addition, on March 23, 2026, we entered into an Equity Distribution Agreement with Piper Sandler &amp; Co. (the Agent), pursuant to which we may offer and sell from time to time through the Agent up to $150.0 million in shares of our common stock (the ATM Facility). As of June 30, 2026, we have not sold any shares of common stock under the ATM Facility.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additional capital raising efforts may divert our management from their day-to-day activities, which may adversely affect our ability to develop and, if approved, commercialize our current and any future product candidates. Additional funding may not be available when we need it, on acceptable terms, or at all. If the equity and credit markets deteriorate, it may make any necessary debt or equity financing more difficult, more costly or more dilutive. If adequate funds are not available to us on a timely basis or on terms we believe are acceptable, we may be required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limit, reduce or terminate preclinical studies, clinical trials or other development activities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limit, reduce or terminate our research and development activities;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limit, reduce or terminate our efforts to establish manufacturing and sales and marketing capabilities or other activities that may be necessary to commercialize our product candidates, if approved, or reduce our flexibility in developing or maintaining our sales and marketing strategy.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also could be required to seek funds through arrangements with collaborators or others that may require us to relinquish rights to some of our technologies or product candidates that we would otherwise pursue on our own. To date, we have primarily financed our operations through the sale of equity securities. We will be required to seek additional funding in the future and currently intend to do so through public or private equity offerings or debt financings, credit or loan facilities, collaborations or a combination of one or more of these funding sources. Our ability to raise additional funds will depend on financial, economic and other factors, many of which are beyond our control. If additional funding is not available when we need it or on acceptable terms,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grow and support our business and to respond to market challenges could be significantly limited,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the Research, Development and Approval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heavily dependent on the successful development, regulatory approval and commercialization of our lead product candidate, ARD-101.</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currently have no products that are approved for commercial sale. Our lead product candidate, ARD-101, is an oral, largely gut-restricted small-molecule agonist of certain TAS2Rs expressed on luminally accessible enteroendocrine cells lining the gut for which we previously initiated a Phase 3 clinical trial for hyperphagia associated with PWS. In February 2026, we voluntarily paused enrollment and dosing in the HERO trial and the open label extension (OLE) trial, and the POWER and STRENGTH clinical trials for ARD-201, based on reversible cardiac observations in a healthy volunteer study, and the FDA placed a full clinical hold on our investigational new drug application (IND) for ARD-101 in May 2026. In June 2026, we terminated the HERO trial and the OLE trial and do not currently intend to resume these clinical trials as previously designed. We are evaluating whether and how to pursue further clinical development of ARD-101 in PWS, including a potentially redesigned trial. We are conducting a comprehensive review of the data, including initiating the unblinding and analysis of program-wide data related to the partially completed HERO trial, developing additional clinical study protocols and evaluating updates to our program-wide safety strategy to support future discussions with the FDA regarding potential next steps for the ARD-101 clinical development program in PWS, and expect to provide further guidance in the third quarter of 2026. The success of our business, including our ability to finance our company and generate revenue in the future, will primarily depend on the successful development, regulatory approval and commercialization of our lead product candidate. We cannot be certain that ARD-101 or any other current or future product candidates will receive regulatory approval or be successfully commercialized even if we receive regulatory 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not previously submitted an NDA to the FDA or any similar approval filing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It may also necessitate a successful regulatory inspection of manufacturing facilities and/or clinical sites. We cannot be certain that our current or future product candidates will be successful in clinical trials. Further, even if they are successful in clinical trials, our current or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Before we can generate any revenue from sales of our lead product candidate, ARD-101, or any other current or future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 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our preclinical studies and clinical trials, which may be significantly slower or more costly than we currently anticipate and will depend substantially upon the performance of third-party contractors;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of subjects in, and completion of,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any additional required capital on acceptable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complete and maintain INDs and IND-enabling studies and successfully submit INDs or comparable applications for our product candidates or any future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required by the FDA or comparable foreign regulatory authorities to conduct additional clinical trials or other studies beyond those planned to support the approval and commercialization of our product candidates or any future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our proposed indications and primary endpoint assessments relating to the proposed indications of our product candidates by the FDA and comparable foreign regulatory authorities, including the use of non-invasive or other novel endpoints to initially obtain market authorization for our product candidates or any future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demonstrate to the satisfaction of the FDA and comparable foreign regulatory authorities the safety, efficacy and acceptable risk to benefit profile of our product candidates or any future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 which may negatively impact the supply chain or cause other disruptions;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incidence, duration and severity of potential side effects or other safety issues or adverse events experienced with our product candidates or future approved products, if any;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receipt of necessary marketing approvals from the FDA and comparable foreign regulatory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required post-marketing approval commitments and requirements, if any, to the FDA and comparable foreign regulatory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development of, or arrangements made with third party manufacturers for, our commercial manufacturing processes of any of our product candidates or future product candidates that receive regulatory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and maintaining and, where applicable, ensuring that our third-party contractors achieve and maintain compliance with our contractual obligations and with all regulatory requirements applicable to our product candidates or any future product candidates or approved products, if any;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third parties with whom we contract to manufacture adequate clinical trial and commercial supplies of our product candidates or any future product candidates to remain compliant and in good standing with regulatory agencies, develop, validate and maintain commercially viable manufacturing processes that comply with cGMPs;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a commercial strategy and thereafter commercialize our current or future product candidates in the United States and internationally, if approved for marketing, reimbursement, sale and distribution in such countries and territories, whether alone or in collaboration with others;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and adequate market share and revenue for any approved drugs;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of our treatment or dosing regimen and the degree to which physicians can prescribe and patients are able to comply with the recommended treatment regimen;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physicians, payors and patients of the benefits, safety and efficacy of our product candidates or any future product candidates, if approved, including relative to alternative and competing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operators of clinics and patients to utilize or adopt any of our product candidates or any future product candidates,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demand for our product candidates, if approved, including patients’ willingness to pay out-of-pocket for any approved products in the absence of coverage and/or adequate reimbursement from third-party payors;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enforce intellectual property rights in and to our product candidates or any future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avoid third-party patent interference, intellectual property challenges or intellectual property infringement claims;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build, train and maintain an organization of people who can successfully develop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factors, many of which are beyond our control, could cause us to experience significant delays or an inability to obtain regulatory approvals or commercialize our product candidates. Even if regulatory approvals are obtained, we may never be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successfully commercialize any of our product candidates. Accordingly, we cannot provide assurances that we will be able to generate sufficient revenue through the sale of our product candidates or any future product candidates, if approved, to continue our business or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processes of the FDA and comparable foreign regulatory authorities are lengthy, time-consuming and inherently unpredictable. If we are not able to obtain required regulatory approval for our product candidates, our business will be substantially harmed.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time required to obtain approval or other marketing authorizations by the FDA and comparable foreign regulatory authorities is unpredictable, and it typically takes many years following the commencement of clinical trials and depends upon numerous factors, including the substantial discretion of the regulatory authorities. In addition, policies, regulations, and the type and amount of clinical data that the regulatory authority views as necessary for approval may change during the course of a product candidate’s clinical development and may vary among jurisdictions. We have not obtained regulatory approval for any product candidate, and it is possible that we may never obtain regulatory approval for any product candidate we may seek to develop in the future. Neither we nor any current or future collaborator is permitted to market any product candidate in the United States until the product candidate receives regulatory approval from the FDA.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Prior to obtaining approval to commercialize any product candidate in the United States or abroad, we must demonstrate with sufficient evidence from adequate and well-controlled clinical trials, and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Our approach of targeting biological pathways associated with alleviating hunger, specifically by developing selective compounds targeting TAS2Rs, is unproven and may not result in marketable products. Although multiple studies have been conducted and are planned, to date, this mechanism has not been definitively proven to successfully treat hunger-associated conditions. Targeting TAS2Rs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The FDA may also require us to conduct additional preclinical studies, clinical trials or other studies for our product candidates either prior to or after approval, or it may object to elements of our clinical development programs.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Of the large number of products in development globally, only a small percentage successfully complete the FDA or comparable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adversely affect our business, financial condition, results of operations and prospects.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development of our clinical and preclinical product candidates. Our business is dependent on our ability to successfully complete preclinical and clinical development of, obtain regulatory approval for, and, if approved, successfully commercialize, our current and future product candidates in a timely manner.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if we eventually complete clinical testing and receive approval or other marketing authorization from the FDA or comparable foreign regulatory authority, the FDA or the comparable foreign regulatory authority may grant approval or other marketing authorization contingent on the performance of costly additional clinical trials, including post-marketing clinical trials. The FDA or the comparable foreign regulatory authority also may approve or authorize for marketing a product candidate for a more limited indication or patient population than we originally propose, and the FDA or comparable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and adversely impact our business and prospects.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increase the costs of compliance or restrict our ability to maintain any marketing authorizations we may have obtained.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timelines and outcomes, and results of earlier studies and trials may not be predictive of future trial results. If development of our product candidates is unsuccessful or delayed, we may be unable to obtain required regulatory approvals and we may be unable to commercialize our product candidates on a timely basis, if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 candidates, including ARD-101, are still in clinical development and their risk of failure is high. To obtain the requisite regulatory approvals to commercialize any product candidates, we must demonstrate through extensive preclinical studies and lengthy, complex and expensive clinical trials that our product candidates are safe and effective in humans for the indications for which we intend to commercialize our product candidates. Clinical testing is expensive and can take many years to complete, and its outcome is inherently uncertain. Failure or delay can occur at any time during the preclinical or clinical trial process. Success in preclinical testing and early clinical trials does not ensure that later clinical trials will generate the same results or otherwise provide adequate data to demonstrate the safety and effectiveness of a product candidate. Preclinical tests and Phase 1 and Phase 2 clinical trials are primarily designed to test safety, to study pharmacokinetics and pharmacodynamics and to understand the side effects of product candidates at various doses and regimens. Success in preclinical studies and early or Phase 2 clinical trials does not ensure that later large-scale efficacy trials will be successful nor does it predict final results. Our product candidates may fail to show the required safety and effectiveness through clinical trials despite positive results in preclinical studies or having successfully advanced through initial clinical trials, particularly because we are targeting novel pathways that have not yet been tested in later-stage clinical trials.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 number of companies in the pharmaceutical industry, including biotechnology companies, have suffered significant setbacks in clinical trials, even after receiving promising results in earlier non-clinical or clinical trials. These setbacks have been caused by, among other things, non-clinical findings made while clinical trials were underway and safety or efficacy observations made in clinical trials, including previously unreported adverse events. Product candidates in later stages of clinical trials may fail to show the desired safety and effectiveness traits despite having progressed through preclinical and earlier phase clinical trials. Moreover, preclinical and clinical data are often susceptible to varying interpretations and analyses, and many sponsors that have believed their product candidates performed satisfactorily in preclinical studies and clinical trials have nonetheless failed to obtain marketing approval of their products. Notwithstanding any potential promising results in earlier studies, we cannot be certain that we will not face similar setbacks. Even if our clinical trials are completed, the results may not be sufficient to obtain regulatory approval for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incur additional costs and experience delays in planned clinical trials for our product candidates, and we do not know whether future clinical trials, if any, will begin on time, need to be redesigned, enroll an adequate number of subjects on time or be completed on schedule, if at all. We may experience numerous unforeseen events during or as a result of clinical trials that could delay or prevent our ability to receive marketing approval or commercialize our product candidates,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(IRBs) and ethics committees (ECs) may not authorize us or our investigators to commence a clinical trial or conduct a clinical trial at a prospective trial site;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for our clinical trial protocols with prospective trial sites or prospective CROs, the terms of which can be subject to extensive negotiation and may vary significantly among different CROs and trial sites;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demonstrate statistical significance in early stage or Phase 2 clinical trials of our product candidates, which may impact the timing and design of late-stage clinical trials for such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required for clinical trials of our product candidates may be larger than we anticipate, we may be required or determine it is appropriate to expand enrollment in clinical trials, enrollment in these clinical trials may be slower than we anticipate or participants may drop out of these clinical trials or fail to return for post-treatment follow-up at a higher rate than we anticipate;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have undesirable side effects, unforeseen adverse events, or other unexpected characteristics, causing us or our investigators, regulators or IRBs or ECs to suspend or terminate the trials. For example, in February 2026, we voluntarily paused enrollment and dosing in the Phase 3 HERO trial and the OLE trial for ARD-101, and the POWER and STRENGTH clinical trials for ARD-201, based on reversible cardiac observations in a healthy volunteer study of ARD-101, and the FDA placed a full clinical hold on our IND for ARD-101 in May 2026, and we terminated the HERO and OLE trials in June 2026;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third-party contractors may fail to comply with regulatory requirements or meet their contractual obligations to us in a timely manner,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IRBs and ECs may require that we or our investigators suspend or terminate clinical trials for various reasons, including non-compliance with regulatory requirements or a finding that the participants are being exposed to unacceptable health risks;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representing the institutions at which such trials are being conducted, by a data monitoring committee for such trial or by the FDA or comparable foreign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candidate product benefit, changes in governmental regulations or administrative actions or lack of adequate funding to continue the clinical trial.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site(s)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experience delays in the completion of any clinical trial of our product candidates or terminate any such clinical trial, the commercial prospects of our product candidates may be harmed, and our ability to generate drug revenues from any of these product candidates will be delayed or not realized at all. In addition, any delays in completing our clinical trials will increase our costs, slow down our product candidate development and approval process and jeopardize our ability to commence product sales and generate revenues. Any of these occurrences may adversely affect our business, operating results, prospects or financial condition. In addition, many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disorders we seek to treat, such as PWS, have low prevalence and it may be difficult to identify and enroll patients with these disorders. If we encounter difficulties or delays enrolling subjects in our clinical trials, our clinical development activities could be delayed or otherwise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be able to initiate or continue our planned clinical trials for our product candidates if we are unable to identify and enroll a sufficient number of eligible subjects to participate in these trials. For example, we are developing ARD-101 for the treatment of hyperphagia associated with PWS. PWS is a rare disease with a limited patient pool from which to draw. In February 2026, we voluntarily paused enrollment and dosing in the Phase 3 HERO trial and the OLE trial for ARD-101, and the POWER and STRENGTH clinical trials for ARD-201, based on reversible cardiac observations in a healthy volunteer study of ARD-101, and the FDA placed a full clinical hold on our IND for ARD-101 in May 2026. In June 2026, we terminated the HERO trial and the OLE trial and do not currently intend to resume these clinical trials as previously designed. We are evaluating whether and how to pursue further clinical development of ARD-101 in PWS, including a potentially redesigned trial. We are conducting a comprehensive review of the data, including initiating the unblinding and analysis of program-wide data related to the partially completed HERO trial, developing additional clinical study protocols and evaluating updates to our program-wide safety strategy to support future discussions with the FDA regarding potential next steps for the ARD-101 clinical development program in PWS, and expect to provide further guidance in the third quarter of 2026. There can be no assurance that we will be able to commence enrollment or dosing in any new clinical trials for ARD-101 on a timely basis, or at all, which could further delay our clinical development timelines. Moreover, there is no guarantee that, if and when we commence any new clinical trials, we will not encounter further delays or difficulties in commencing enrollment and/or dosing, including due to our announcement of having voluntarily paused our clinical programs and the full clinical hold on our IND for ARD-101, and the termination of the HERO and OLE clinical trials in June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timely completion of any clinical trial in accordance with its protocol depends, among other things, on our ability to enroll a sufficient number of subjects who remain in the study until its conclusion. We may experience difficulties in subject enrollment in our clinical trials for a variety of reasons. The enrollment of subjects depends on many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subject eligibility criteria defined in the protocol;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clinical trial’s primary endpoints and the process for identifying subjects;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subjects to clinical sites;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existing body of safety and efficacy data for the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commercially available products and other competing product candidates’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subjects adequately during and after treatment;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subjects’ perceptions as to the potential risks and benefits of the product candidate being studied in relation to other available products, including any approved or new products that may be approved for the indications we are investigating;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outside of our control, such as the effects of global economic and geopolitical conditions, for example, the war in Iran and other instability in the Middle East and other regions of the world;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informed consent;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subjects enrolled in clinical trials will drop out of the trials before completion;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timely manufacture and supply clinical supplies for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Phase 3 HERO trial, evaluating the effect of ARD-101 on hyperphagia-related behavior in PWS, was limited to subjects 10 years of age and older after reaching alignment with the FDA in October 2025 on a protocol amendment to change the minimum age of eligibility to participate in the trial from 13 to 10 years of age or older. In December 2025, we submitted an additional protocol amendment seeking to further lower the minimum age of eligibility to participate in the trial to 7 years of age. Following the voluntary pause of our clinical programs in February 2026 and the subsequent full clinical hold on our IND for ARD-101, we are reviewing the HERO trial design and protocol for any potential new trial in collaboration with the FDA. If we commence a new trial to evaluate ARD-101 in PWS patients, certain factors may preclude us from receiving regulatory approval to treat younger pediatric subjects, including potential disagreements regarding appropriate dose and dose escalation, product presentation for possibly lower doses, validity of patient-reported outcomes in younger, actively growing patients, and avoiding inappropriate hunger suppression in these growing individuals. We can neither predict if the FDA or comparable foreign regulatory authorities will approve the use of our product candidates or programs in younger pediatric subjects, nor provide an estimate for the timing of such approval, if any. Furthermore, if the FDA or comparable foreign regulatory authorities do not approve the use of our product candidates or programs in this population, such product candidates or programs will not be labeled for use in these subjects. Given that the median lifespan of PWS patients is currently 30 years, the size of our market opportunity in this indication will be more limited if ARD-101 is not ultimately approved in pediatric patients and does not result in a significant increase in patient lifespan.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our clinical trials may compete for patients that are already taking existing products approved for the indications we are seeking to treat and also compete with other clinical trials for product candidates that are in the same therapeutic areas as our product candidates, and this competition will reduce the number and types of subjects available to us, because some subjects who might have opted to enroll in our trials may instead opt to enroll in a trial being conducted by one of our competitors. Furthermore, if subjects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 In addition, we may rely on CROs and clinical trial sites to ensure the proper and timely conduct of our clinical trials and we will have limited influence over their performance.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delays in subject enrollment or inability to identify and enroll a sufficient number of eligible subjects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results from our clinical trials and preclinical studies that we announce or publish from time to time may change as more patient data become available and are subject to audit and verification procedures that could result in material changes in the final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publish interim topline or preliminary results from our preclinical studies and clinical trials, which are based on a preliminary analysis of then-available data, and the results and related findings and conclusions are subject to change following the availability of more data or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adversely affect our business prospects and may cause the trading price of our common stock to fluctuate significantly.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clinical trials may fail to demonstrate safety and efficacy of our product candidates, or serious adverse events or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Unforeseen adverse events or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Before obtaining regulatory approvals for the commercial sale of our product candidates, we must demonstrate through lengthy, complex and expensive preclinical testing and clinical trials that our product candidates are safe and effective for use in each target indication, and failures can occur at any stage of testing. Clinical trials often fail to demonstrate safety or efficacy of the product candidate studied for the target indication. Our clinical trials of ARD-101 for the treatment of hyperphagia associated with PWS rely on measurement of reduction of hyperphagia behavior based on HQ-CT scores, which are typically caregiver reported questionnaires. Because these questionnaires rely on subjective caregiver feedback, responses can be influenced by factors outside of our control, and can vary widely from day to day for a particular patient/caregiver, and from patient to patient and site to site within a clinical trial.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February 2026, we voluntarily paused enrollment and dosing in the HERO trial, and the POWER and STRENGTH clinical trials for ARD-201, following reversible cardiac observations identified in a healthy volunteer study of ARD-101, and the FDA placed a full clinical hold on our IND for ARD-101 in May 2026. In June 2026, we terminated the HERO trial and the OLE trial and do not currently intend to resume these clinical trials as previously designed. While these observations were not reported as serious adverse events, they may nevertheless lead to additional regulatory scrutiny or changes to our development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our product candidates are associated with adverse events in clinical trials or have side effects or other characteristics that are serious or unexpected, we may need to abandon their development or limit development to more narrow uses in which the adverse events, side effects or other characteristics are less prevalent, less severe or more acceptable from a risk-benefit perspective. We may also be required to modify our trial plans based on findings in our clinical trials. The FDA may also require that we conduct additional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such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Treatment-related side effects could also affect subject recruitment or the ability of enrolled subjects to complete the trial or result in potential product liability claims. In addition, these side effects may not be appropriately recognized or managed by the treating medical staff. Furthermore, we may be required to expend time and incur costs to train medical personnel using our product candidates to understand the side effect profiles for our clinical trials and upon any commercialization of any of our product candidates. Any of these occurrences may adversely affect our business, operating results, prospects or financial condition. Moreover,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serious side effects or other adverse events were to occur in any of our clinical programs, we could be subject to negative publicity and our company and reputation may be harmed.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if one or more of our product candidates receives marketing approval, and we or others identify adverse events or undesirable side effects caused by such products, a number of potentially significant negative consequences could result,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discontinue marketing of the product candidate, or decide to remove the product candidate from the marketplace,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 candidate;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candidate to selective specialized centers with additional safety reporting and with requirements that subjects be geographically close to these centers for all or part of their treatment;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send “dear doctor” letters to treatment providers or disseminate a medication guide outlining the risks of the product candidate for subjects, or to conduct post-marketing studies;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candidate is administered;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conduct a recall;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achieve or maintain third-party payor coverage and adequate reimbursement;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 may become less competitive, and our reputation and physician or patient acceptance of our products may suffer.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can be no assurance that we will resolve any issues related to any product-related adverse events to the satisfaction of the FDA or comparable foreign regulatory authorities in a timely manner or at all. Moreover, any of these events could prevent us from achieving or maintaining market acceptance of the particular product candidate, if approved, and could adversely affect our business, operating results, prospects or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an organization, we have not previously conducted pivotal clinical trials, and we may be unable to do so successfully for any product candidates we may develop.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will need to successfully complete pivotal clinical trials in order to obtain product approval from the FDA or comparable foreign regulatory authorities to market ARD-101 or any other current or future product candidate. Carrying out pivotal clinical trials is a complicated process. We initiated a Phase 3 HERO clinical trial in hyperphagia associated with PWS in December 2024. In February 2026, we voluntarily paused enrollment and dosing in the HERO trial based on reversible cardiac observations in a healthy volunteer study, and the FDA placed a full clinical hold on our IND for ARD-101 in May 2026. In June 2026, we terminated the HERO trial and the OLE trial and do not currently intend to resume these clinical trials as previously designed. We are evaluating whether and how to pursue further clinical development of ARD-101 in PWS, including a potentially redesigned trial. We are conducting a comprehensive review of the data, including initiating the unblinding and analysis of program-wide data related to the partially completed HERO trial, developing additional clinical study protocols and evaluating updates to our program-wide safety strategy to support future discussions with the FDA regarding potential next steps for the ARD-101 clinical development program in PWS. If the FDA determines that additional nonclinical studies, dose modifications, enhanced monitoring or other protocol changes are required, our clinical development timelines could be significantly delayed. We expect to provide further guidance in the third quarter of 2026. Additionally, because ARD-201 contains ARD-101 as a component, we have also voluntarily paused the POWER and STRENGTH clinical trials for ARD-201.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an organization, we have not previously successfully conducted any later stage or pivotal clinical trials. In order to do so, we have expanded our clinical management and regulatory capabilities, including hiring clinical, regulatory, CMC and quality personnel, and we expect to potentially need to expand our clinical management and regulatory capabilities, but may be unable to recruit and train qualified personnel. We also expect to continue to rely on third parties to conduct our later stage or pivotal clinical trials. See the subsection titled “—Risks Related to Our Dependence on Third Parties—We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 Consequently, we may be unable to successfully and efficiently execute and complete necessary clinical trials in a way that leads to submission of an NDA and approval of ARD-101 or any other current or future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In addition, no product candidate can receive FDA approval unless clinical trials show both safety and efficacy for each target indication in accordance with FDA or foreign country standards. We plan to conduct a number of clinical trials for multiple product candidates in parallel over the next several years depending on the outcome of our ongoing evaluation of potential future clinical development of ARD-101 following the termination of the HERO and OLE trials, including any redesigned trial, and our other clinical programs. This may be a difficult process to manage with our limited resources and may divert the attention of management.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projects, initiatives, product candidates or indications that may be more profitable or for which there is a greater likelihood of success.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Because we have limited financial and management resources, we focus on development programs and product candidates that we identify for specific indications. As such, we are currently primarily focused on the development of ARD-101 for the treatment of hyperphagia associated with PWS. As a result, we may forgo or delay pursuit of opportunities with other product candidates or for other indications for our product candidates that later prove to have greater commercial potential. Moreover, in February 2026, we voluntarily paused enrollment and dosing in the Phase 3 HERO trial and the OLE trial for ARD-101, and the POWER and STRENGTH clinical trials for ARD-201, based on reversible cardiac observations in a healthy volunteer study of ARD-101, and the FDA placed a full clinical hold on our IND for ARD-101 in May 2026. In June 2026, we terminated the HERO trial and the OLE trial and do not currently intend to resume these clinical trials as previously designed. We are evaluating whether and how to pursue further clinical development of ARD-101 in PWS, including a potentially redesigned trial. We are conducting a comprehensive review of the data, including initiating the unblinding and analysis of program-wide data related to the partially completed HERO trial, developing additional clinical study protocols and evaluating updates to our program-wide safety strategy to support future discussions with the FDA regarding potential next steps for the ARD-101 clinical development program in PWS, and expect to provide further guidance in the third quarter of 2026.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We must continually assess the potential commercial viability of our research programs and product candidates, and we may decide to pause, discontinue or deprioritize development of any of our product candidates based upon such assessments, even if we obtain positive data from our product candidates in preclinical studies and clinical trials.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regulatory submission, preclinical studies, clinical trials,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drugs is also subject to 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drugs in certain countries. If we fail to comply with the regulatory requirements in international markets and/or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conducted and may plan to conduct certain clinical trials for our product candidates outside the United States, and the FDA and comparable foreign regulatory authorities may not accept data from such trials.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the voluntary pause of our clinical programs, we were conducting, and potentially plan to conduct again, certain clinical trials of ARD-101 outside the United States, including, but not limited to, in the United Kingdom, South Korea, Canada and Australia.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our product candidates,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product candidate for which we obtain marketing approval, along with the manufacturing processes, post-approval clinical data, labeling, packaging, distribution, adverse event reporting, storage, recordkeeping, export, import, and advertising and promotional activities for such product, among other things, will be subject to extensive and ongoing requirements of and review by the FDA and other comparable foreign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product tracking and tracing requirements, requirements regarding the distribution of samples to physicians and recordkeeping and GCP requirements for any clinical trials that we conduct post-approval.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if we receive approval for our product candidates, they may be subject to limitations on the approved indicated uses for which the drug may be marketed or the conditions of approval, or contain requirements for potentially costly post-market testing and surveillance to monitor the safety and efficacy of the product candidate. The FDA may also require us to adopt a Risk Evaluation and Mitigation Strategy (REMS) to ensure that the benefits of treatment with such product candidate outweigh the risks for each potential subject, which may include, among other things, a communication plan to health care practitioners, patient education, extensive subject monitoring or distribution systems and processes that are highly controlled, restrictive and more costly than what is typical for the industry. We or our collaborators may also be required to adopt a REMS or engage in similar actions, if we or others later identify undesirable side effects caused by any drug that we develop alone or with collaborators.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 the following actions by regulators: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issuing warning letters or untitled letters;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mandating modifications to promotional materials or requiring us to provide corrective information to healthcare practitioners, or requiring other restrictions on the labeling or marketing of such product;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us to enter into a consent decree, which can include imposition of various fines, reimbursements for inspection costs, required due dates for specific actions and penalties for non-compliance;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seeking an injunction or imposing civil or criminal penalties or monetary fines;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being sued and held liable for harm caused to subjects or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suspending, withdrawing or modifying regulatory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suspending or modifying any planned clinical trials or requirement to conduct additional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to act on pending applications, supplements to applications or comparable foreign applications filed by us;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suspending or imposing restrictions on operations, including costly new manufacturing requirements;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seizing or detaining products, refusing to permit the import or export of products or requiring us to initiate a product recall.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FTC), the Department of Justice, the U.S. Department of Health and Human Services Office of Inspector General, state attorneys general, members of the U.S. Congress and the public.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advertising and promotion of any product candidate that obtains approval outside of the United States will be heavily scrutinized by comparable foreign entities and stakeholders. Violations, including actual or alleged promotion of our drugs for unapproved or off-label uses, are subject to enforcement letters, inquiries and investigations, and civil and criminal sanctions by the FDA or comparable foreign bodies.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FDA’s and comparable foreign regulatory authorities’ policies may change and additional government regulations may be enacted that could prevent, limit or delay regulatory approval of our product candidates. For example, 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The Loper decision also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caused by funding shortages, government shutdowns or global health concerns could negatively impact our business operations, regulatory interactions and access to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Significant disruptions to the operations of government agencies, including from prolonged or repeated shutdown of the federal government, could adversely affect our business, financial condition and results of operations. For example, on October 1, 2025, the U.S. government shut down for 43 days, during which time certain regulatory agencies, such as the FDA and the SEC, furloughed certain employees and stopped critical activities. On October 10, 2025, the U.S. government implemented substantial layoffs and workforce reductions in connection with the federal government shutdown, which resulted in the suspension or delay of various government-funded programs.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Average review times at the agency have fluctuated in recent years as a result and may continue in the future. In addition, government funding of other government agencies that fund research and development activities is subject to the political process, which is inherently fluid and unpredictable.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Disruptions at the FDA and other agencies, including as a result of reductions in force, significant organizational changes, substantial leadership departures, and policy changes, may also slow the time necessary for new drugs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several times and certain regulatory agencies, such as the FDA and the SEC, have had to furlough certain employees and stop certain critical activities. The current U.S. administration also has taken steps to reduce the number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federal employees by establishing voluntary termination programs, by position eliminations or by involuntary terminations. If funding for the FDA is reduced, if the FDA workforce is reduced, or if government shutdowns reoccur, any of these factors could significantly impact the ability of the FDA to timely review and process our regulatory submissions, which could have a material adverse effect on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a future shutdown of the U.S. federal government could materially impact the operations of the SEC. For example, during the most recent U.S. federal government shutdown, the SEC announced that it would not declare registration statements effective. In the event of a future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future government shutdowns or funding freezes could negatively affect broader business operations and economic conditions and cause delays in or suspension of manufacturing facility and shipping operations, which could adversely affect our clinical trials and supply of product candidates. If these disruptions reoccur or worsen, our business, financial condition, results of operations and ability to execute our strategic plans could be materially and adversely affected.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FDA or comparable foreign regulatory authorities may also face delays or resource constraints relating to foreign inspections, such as those that occurred during the COVID-19 pandemic. In response, such agencies may shift inspection priorities, may turn to remote regulatory assessments, or may issue other policies that could affect product approval timelines, which could have a material adverse effect on our business. A U.S. government shutdown or reduction in FDA funding or workforce may also affect inspection-related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regulatory application submission,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their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agreement.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design such product candidates with the pharmacological properties that we desire or attractive pharmacokinetics;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for such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received Orphan Drug Designation and Rare Pediatric Disease Designation for ARD-101 for the treatment of PWS, and we may seek Orphan Drug Designation and/or Rare Pediatric Disease Designation for some or all of our other product candidates. However, we may not receive either such designation, and we may not be able to maintain Orphan Drug Designation or Rare Pediatric Disease Designation or obtain a Rare Pediatric Disease priority review voucher or orphan drug exclusivity for ARD-101, which could limit the potential profitability of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may designate drugs intended to treat relatively small patient populations as orphan drug products. Under the Orphan Drug Act, the FDA may designate a product candidate as an orphan drug if it is intended to treat a rare disease or condition, which is generally defined as a patient population of fewer than 200,000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individuals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application fee waivers. If a drug or biologic with an Orphan Drug Designation subsequently receives marketing approval for the indication for which it has such designation, the product may be entitled to an expanded period of marketing exclusivity, which precludes the FDA from approving another marketing application for the same drug and indication for that time period, except in limited circumstances. The applicable period is seven years in the United States. An orphan drug benefiting pediatric patients can qualify as a drug for a Rare Pediatric Disease Designation as well. If so designated, the sponsor of the Rare Pediatric Disease designated product may be eligible for a rare pediatric disease priority review voucher, which would be issued in connection with FDA approval for the designated product. Under the Federal Food, Drug, and Cosmetic Act (the FDCA), a rare pediatric disease product application may be eligible for a rare pediatric disease priority review voucher if the drug receives marketing approval before September 30, 2029.</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FDA granted us an Orphan Drug Designation and a Rare Pediatric Disease Designation for the use of ARD-101 in PWS in August 2023, and we may also seek Orphan Drug Designation for some or all of our other product candidates. However, we may be unsuccessful in obtaining Orphan Drug Designation and/or Rare Pediatric Disease Designation for other product candidates, and we may be unable to obtain or maintain the benefits associated with Orphan Drug Designation or Rare Pediatric Disease Designation for ARD-101 or other product candidates for which we may receive such designations. The exclusivity granted under the Orphan Drug Designation may not effectively protect ARD-101 from competition because different drugs can be approved for the same condition, and orphan drug exclusivity does not prevent the FDA from approving the same or a different drug for another indication. The FDA may be able to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Neither Orphan Drug Designation nor Rare Pediatric Disease Designation shortens the development time or regulatory review time of a drug and does not give the drug any advantage in the regulatory review or approval process. Additionally, even if we obtain Orphan Drug Designation for a product candidate, we may not be able to obtain orphan drug exclusivity for that product candidate. Similarly, we may not be able to obtain a rare pediatric disease priority review voucher for any product candidate for which we receive a Rare Pediatric Disease Designation, particularly if such product candidate does not receive marketing approval before September 30, 2029 and the program is not further extended.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 in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apply for a Breakthrough Therapy designation for ARD-101 and any other current or future product candidates for one or more indications when we have placebo-controlled data and we believe that the clinical data may support such a designation for one or more product candidates. A Breakthrough Therapy is defined as a drug or biologic that is intended, alone or in combination with one or more other drugs or biologics, to treat a serious or life-threatening disease or condition with unmet medical need,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rolling review (submissions of portions of an application before the complete marketing application is submitted) and priority review.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one of our product candidates meets the criteria for designation as a Breakthrough Therapy, the FDA may disagree and determine not to make such designation. For example, we previously applied for Breakthrough Therapy designation for ARD-101 for the treatment of hyperphagia associated with PWS; however, the FDA noted that we would need to provide additional information in order to support such a Breakthrough Therapy designation. We may determine to submit a new request for Breakthrough Therapy designation for ARD-101 for the treatment of hyperphagia associated with PWS that includes the additional information requested by the FDA when available. However, there can be no assurances that the FDA would consider any such additional information to be sufficient or otherwise determine to grant a Breakthrough Therapy designation for ARD-101 for the treatment of hyperphagia associated with PWS. In any event, the receipt of a Breakthrough Therapy designation for a product candidate may not result in a faster development process, review or approval compared to drugs considered for approval under non-expedited FDA review procedures and does not assure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ultimate approval by the FDA. In addition, even if one or more of our product candidates qualify as Breakthrough Therapies, the FDA may later decide that the product no longer meets the conditions for such qualification.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pursuing or maintaining fast track or other expedited regulatory designations for our product candidates, and such designations may not actually lead to a faster development or regulatory approval process.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apply for fast track designation, priority review or accelerated approval status for ARD-101 or any other current or future product candidates. However, even if we receive fast track designation, priority review or accelerated approval status or other accelerated review designation for one or more of our product candidates, these designations do not assure that we will experience a faster development process, regulatory review or regulatory approval process compared to conventional FDA procedures. In addition, the FDA may withdraw a fast track, priority review, accelerated approval status or other accelerated review designation if it believes that the status or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for whom they may also be conducting clinical trials or other drug development activities that could harm our competitive position.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safety and well-being of trial participants are protected. Regulatory authorities enforce these requirements through periodic inspections (including pre-approval inspections once an NDA or biologics license application is submitted to the FDA) of trial sponsors, clinical investigators, trial sites and certain third parties including CROs. In addition, our manufacturers are required to adhere to cGMPs, which include testing, control, and documentation requirements. If we, our CROs, clinical trial sites, manufacturers or other third parties fail to comply with applicable GCP, cGMPs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or cGMP regulations. Failure to comply with these regulatory requirements could result in, among other things, warning letters, fines, injunctions, civil penalties, recall or seizure of products, total or partial suspension of production, withdrawal of approvals previously obtained and criminal prosecution. The restriction, suspension or revocation of regulatory approvals or any other failure to comply with regulatory requirements would limit our ability to operate and could increase our costs which may have a material adverse effect on our business. Moreover, our business may be significantly impacted if our CROs,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investigators or other third parties violate federal or state healthcare fraud and abuse or false claims laws and regulations or healthcare privacy and security laws.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any of our relationships with these third parties terminates, we may not be able to enter into alternative arrangements or do so on commercially reasonable terms. Switching or adding additional contractors involves additional cost and time and requires management's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terminated entirely, which may delay our continued development of our product candidates utilizing the collaborator’s technology or intellectual property or require us to stop development of those product candidates completely.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clinical drug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or comparable regulatory authorities, fail to provide us with sufficient quantities of drug product or fail to do so at acceptable quality levels or prices.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do not currently have nor do we plan to acquire the infrastructure or internal capability to manufacture our clinical drug supplies for use in the conduct of our clinical trials, and we lack the internal resources and the capability to manufacture any of our product candidates on a clinical or commercial scale. The facilities used by our contract manufacturers to manufacture our product candidates must be approved by the FDA pursuant to inspections that will be conducted after we submit our NDA to the FDA.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replacement of our manufacturers could require significant effort and expertise because there may be a limited number of qualified replacements. In some cases, the technology required to manufacture our product candidates may be unique to the original manufacturer and we may have difficulty transferring such skills or technology to another third party. The process of changing manufacturers is extensive and time-consuming and could cause delays or interruptions in our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The delays associated with the verification of a new manufacturer could negatively affect our ability to develop product candidates in a timely manner or within budget.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rely on our manufacturers to purchase from third-party suppliers the materials necessary to produce our product candidates for our clinical trials. There are a limited number of suppliers for raw materials that we use to manufacture our product candidates and there may be a need to assess alternate suppliers to prevent a possible disruption of the manufacture of the materials necessary to produce our product candidates for our clinical trials, and if approved, ultimately for commercial sale. We do not have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candidates, the commercial launch of our product candidates would be delayed or there would be a shortage in supply, which would impair our ability to generate revenues from the sale of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adversely affect our business, operating results, prospects or financial condition.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or our manufacturing partners,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manufacturers may not be able to manufacture our product candidates or otherwise fulfill their obligations to us because of interruptions to their business, including the loss of their key staff or interruptions to their raw material supply.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rely on third-party manufacturers to develop, validate, and operate the manufacturing processes for our products. Process validation can be complex and may be affected by factors outside of our direct control, including equipment performance, process variability, and challenges in scaling production. If our third-party manufacturers are unable to successfully develop or validate manufacturing processes, or to maintain validated processes, we may experience delays in production, increased costs, or disruptions in supply. Process validation may take longer than anticipated, may reveal deficiencies requiring remediation, or may ultimately not be achievable with our current third-party manufacturers, any of which could materially delay or prevent the commercial launch of our future product candidates. In addition, failure to meet applicable regulatory requirements could result in regulatory 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to continue to depend on third-party contract manufacturers for the foreseeable future. We have not entered into long-term agreements with our current contract manufacturers or with any alternate fill/finish suppliers, and though we intend to do so prior to commercial launch in order to ensure that we maintain adequate supplies of finished drug products, we may be unable to enter into such an agreement or do so on commercially reasonable terms, which could have a material adverse impact upon our business. Our product candidates, and any drugs that we may develop, may compete with other product candidates and drugs for access to manufacturing facilities. Qualifying and validating such manufacturers may take a significant period of time and reliance on third-party manufacturers entails additional risks,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increase in costs for the raw materials for our product candidates;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any agreement by any third party at a time that is costly or inconvenient for 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recent legislation, certain third-party manufacturers and other third parties (frequently China-based companies) may be considered “biotechnology companies of concern.” If a third-party manufacturer receives such a designation, it may restrict the ability of U.S. companies like us to purchase services or products from, collaborate with, or otherwise work with such manufacturers. For example, it may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collaborations with third parties for the development of certain potential product candidates, and we may seek additional collaborations in the future for the development and commercialization of these or other potential candidates. If our collaborations are not successful, our ability to develop and commercialize our product candidates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have collaborations with third parties to develop certain of our potential product candidates, although none of these collaborations relate to ARD-101. In the future, we may seek collaboration arrangements for the commercialization, or potentially for the development, of other product candidates depending on the merits of retaining commercialization rights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ourselves as compared to entering into collaboration arrangements. For example, certain disease areas that we believe our product candidates address require large, costly and later-stage clinical trials, which a collaboration partner may be better positioned to finance and/or conduct.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Collaborations involving our product candidates would pose the following risks to us: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seek to amend or modify the terms of any collaboration;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product candidates and other research that result from our collaborating with them, and in such cases, we would not have the exclusive right to develop or commercialize such intellectual property and may not be able to commercialize such intellectual property without their consent;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subjects in our clinical trials,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product candidates. Any of these developments could harm our product development efforts,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to contractual measures, we try to protect the confidential nature of our proprietary information using commonly accepted physical and technological security measures.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Recourse we take against such misconduct may not provide an adequate remedy to fully protect our interests.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Trade secrets will over time be disseminated within the industry through independent development, the publication of journal articles and the movement of personnel skilled in the art from company to company or academic to industry scientific positions.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which could harm our competitive position.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operations of our suppliers, some of which may source raw materials and other supplies outside of the United States, are subject to additional risks that are beyond our control and that could adversely affect our business, financial condition, results of operations and prospects.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Currently, some of our suppliers may source raw materials and other supplies outside of the United States. As a result, we may be subject to risks associated with doing business abroad,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unrest, war, outbreaks of hostility, terrorism, labor disputes, and economic instability resulting in the disruption of trade from foreign countries in which our products are manufactured;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challenges and increased costs with enforcing and periodically auditing or reviewing our suppliers’ and manufacturers’ compliance with cGMPs or status acceptable to the FDA or comparable foreign regulatory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including trademark protection, in some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operations due to global, regional, or local public health crises or other emergencies or natural disasters;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 which may negatively impact the supply chain or cause other disruptions;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or delays in shipments;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economic conditions in countries where our manufacturers or suppliers are located.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and other factors beyond our control could interrupt our suppliers’ production, influence the ability of our suppliers to export our clinical supplies cost-effectively or at all, and inhibit our suppliers’ ability to procure certain materials, any of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maintain and enforce intellectual property protection directed to our current and any future technologies that we develop, others may be able to make, use or sell product candidates substantially the same as ours, which could adversely affect our ability to compete in the market.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 for pharmaceuticals and biopharmaceuticals is highly competitive and subject to rapid technological change. Our success depends, in part, upon our ability to maintain a competitive position in the development and protection of technologies and any future product candidates for use in these fields and upon our ability to obtain, maintain and enforce our intellectual property rights. We seek to obtain and maintain patents and other intellectual property rights to restrict the ability of others to market products that misappropriate our technology and/or infringe our intellectual property to unfairly and illegally compete with any of our product candidates. Given the amount of time required for the development, testing and regulatory review of new product candidates, patents protecting such products might expire before or shortly after such products are commercialized. If we are unable to protect our intellectual property and proprietary rights, our competitive position and our business could be harmed, as third parties may be able to make, use or sell products that are substantially the same as any product candidates we may sell without incurring the sizeable development and licensing costs that we have incurred, which would adversely affect our ability to compete in the market. We use a combination of patents, trademarks, know-how, confidentiality procedures and contractual provisions to protect our proprietary technology and that of our licensors. However, these protections may not be adequate and may not provide us with any competitive advantage. For example, patents may not issue from any of our or our licensors’ currently pending or any future patent applications, and our or our licensors’ issued patents and any future patents that may issue may not survive legal challenges to their scope, validity or enforceability or provide significant protection for 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protect our proprietary position, we file patent applications in the United States and abroad related to our product candidates that we consider important to our business. The patent application and approval process is expensive, time-consuming and complex. We may not be able to file, prosecute and maintain all necessary or desirable patent applications at a reasonable cost or in a timely manner or in all jurisdictions. It is also possible that we will fail to identify patentable aspects of our research and development output before it is too late to obtain patent protection. Moreover, depending on the terms of any future license or collaboration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USPTO, international patent offices or judicial bodies may deny or significantly narrow claims made under our patent applications, and our issued patents may be successfully challenged, may be designed around or may otherwise be of insufficient scope to provide us with protection for our drugs or combination therapies.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the USPTO, international trademark offices or judicial bodies may deny our trademark applications and, even if published or registered, these trademarks may not effectively protect our brand and goodwill. Like patents, trademarks also may be successfully opposed or challenged.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cannot be certain that the steps we have taken will prevent unauthorized use or unauthorized reverse engineering of our technology. Moreover, third parties may independently develop technologies that are competitive with ours and such competitive technologies may or may not infringe our intellectual property. The enforcement of our intellectual property rights also depends on the success of any legal actions we may take against these infringers in the respective country or forum, but these actions may not be successful. As with all granted intellectual property, such intellectual property may be challenged, invalidated or circumvented, may not provide protection and/or may not prove to be enforceable in actions against specific alleged infringers.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if our patents are determined by a court to be valid and enforceable, they may not be interpreted sufficiently broadly to prevent others from marketing products similar to ours or designing around our patents. For example, third parties may be able to make products that are similar to ours but that are not covered by the claims of our patents. Third parties may assert that we or our licensors were not the first to make the inventions covered by our issued patents or pending patent applications. The claims of our or our licensors’ issued patents or patent applications when issued may not cover our product candidates or any future product candidates that we develop. We may not have freedom to commercialize unimpeded by the patent rights of others. Third parties may have patents that dominate, block or are otherwise relevant to our technology. In addition, there may be prior public disclosures or other art that could be deemed to invalidate one or more of our patent claims. We may not develop additional proprietary technologies in the future, and, if we do, they may not be patentable.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and litigation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post-grant review (PGR) and inter partes review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adversely affect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Many of our employees were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or our licensors may in the future rely on third-party consultants or collaborators or on funds from third parties, such as the U.S. government, such that we or our licensors are not the sole and exclusive owners of the patents we in-licensed. If other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is common in the pharmaceutical and biotechnology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universities or other pharmaceutical or biotechnology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Such intellectual property could be awarded to a third party, and we could be required to obtain a license from such third party to commercialize our technology or drugs and combination therapies. Even if we are successful in defending against these claims, litigation could result in substantial costs and be a distraction to our management team. Any of the foregoing would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unsuccessful in licensing or acquiring intellectual property from third parties that may be required to develop and commercialize our current or future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and commercialization of our current or future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licensing or acquisition of third-party intellectual property rights is a highly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license or otherwise have access to patent rights from third-party owners. Such licenses or other arrangements may be subject to early termination if we fail to comply with our obligations in our agreements with third parties, which could result in the loss of rights or technology that are material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and may become a party to licenses and other agreements that give us rights to third-party intellectual property that are necessary or valuable for our business, and we may enter into additional licenses or other agreements in the future. Under these agreements, we are or may be obligated to pay the counterparties' fees, which may include annual license fees, milestone payments, royalties, a percentage of revenues associated with the applicable technology and a percentage of sublicensing revenue. In addition, under certain of such agreements, we are or may be required to diligently pursue the development of products using the applicable technology. If we fail to comply with these obligations and fail to cure our breach within a specified period of time, the counterparty may have the right to terminate the applicable agreement. Termination of the applicable agreement, or reduction or elimination of our rights under it or any other agreement, may result in our having to negotiate new or reinstated arrangements on less favorable terms, or our not having sufficient intellectual property rights to operate our business. The occurrence of such events could adversely affect our business, operating results, prospects or financial condition.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may rely on third parties from whom we license proprietary technology to file and prosecute patent applications and maintain patents and otherwise protect the intellectual property we license from them. We may have limited control over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activities or any other intellectual property that may be related to our in-licensed intellectual property. For example, we cannot be certain that such activities by these licensors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may be licensed to us. It is possible that the licensors’ infringement proceeding or defense activities may be less vigorous than if we conduct them ourselves.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any of which could have a material adverse effect on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intellectual property licensed from third parties may be subject to retained rights.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Government agencies may provide funding, facilities, personnel or other assistance in connection with the development of the intellectual property rights owned by or licensed to us. Such government agencies may have retained rights in such intellectual property. The U.S.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U.S. Supreme Court decisions, that have increased uncertainties as to the ability to enforce patent rights in the future. In addition, the laws of foreign countries may not protect our rights to the same extent as the laws of the United States, or vice versa.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we may not be aware of all third-party intellectual property rights potentially relating to our research programs and product candidates, or their intended uses, and as a result the potential impact of such third-party intellectual property rights upon the patentability of our own patents and patent applications, as well as the potential impact of such third-party intellectual property upon our freedom to operate, is highly uncertain. While we are not aware of any third-party patents or patent filings that would block commercialization of our product candidates, we have not conducted a freedom-to-operate search or analysis for any of our current product candidates, and we may not be aware of patents or pending or future patent applications that, if issued, would block us from commercializing our product candidates. Thus, we cannot guarantee that our current product candidates, or our commercialization thereof, do not and will not infringe any third party’s intellectual property. Because patent applications are maintained as confidential for a certain period of time (for example, patent applications in the United States and other jurisdictions are typically not published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18 months after filing, or in some cases, not at all),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As a result, the issuance, scope, validity, enforceability and commercial value of our patent rights are highly uncertain. We have pending U.S. and foreign patent applications in our portfolio; however, we cannot predict: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patent issuing based on our patent applications will provide protection against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that we own or in-license will result in issued patents with claims that cover our product candidates or uses thereof in the United States or in other foreign countries; and/or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may experience patent office interruption or delays to our ability to timely secure patent coverage to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patents or pending patent applications may be challenged in the courts or patent offices in the United States and other foreign jurisdictions. For example, we may be subject to a third party pre-issuance submission of prior art to the USPTO or become involved in PGR procedures, derivations, reexaminations, or inter partes review 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In addition, 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Further, our issued patents could be found invalid or unenforceable if challenged in court.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one or more patents of ours or any of our current licensors or future licensors is not valid or is unenforceable, in whole or in part, or may refuse to stop the other party from using the technology at issue on the grounds that our or our licensors’ patents do not cover the technology in question. An adverse result in any litigation or defense proceedings could put one or more of our or our licensors’ patents at risk of being invalidated or interpreted narrowly, which may curtail or preclude our ability to exclude third parties from making and selling similar or competitive products, and could put our or our licensors’ patent applications at risk of not issuing. If we or any of our potential future collaborators were to initiate legal proceedings against a third party to enforce a patent directed at our products, the defendant could counterclaim that our or our licensors’ patent is invalid and/or unenforceable in whole or in part. In patent litigation in the United States, defendant counterclaims alleging invalidity and/or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unenforceability are commonplace. Grounds for a validity challenge include an alleged failure to meet any of several statutory requirements, including lack of novelty, obviousness or non-enablement. Grounds for an unenforceability assertion could also include an allegation that someone connected with prosecution of the patent withheld relevant information from the USPTO or made a misleading statement during prosecution.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a defendant were to prevail on a legal assertion of invalidity or unenforceability of our or our licensors’ patents covering one or more of our product candidates, we could lose a part, and perhaps all, of the patent protection covering such candidate. Competing products may also be sold in other countries in which our patent coverage might not exist or be as strong. If we lose a foreign patent lawsuit, alleging our infringement of a competitor’s patents, we could be prevented from marketing our products in one or more foreign countries. Any of these occurrences could adversely affect our competitive business position, business prospects and financial condition.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not be able to prevent, alone or with our potential licensors, misappropriation of our intellectual property rights, particularly in countries where the laws may not protect those rights as fully as in the United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defense of litigation or interference proceedings may fail and, even if successful, may result in substantial costs and distract our management and other employees.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products to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our competitors might be able to use our technologies and this circumstance would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establish our competitive position with respect to our product candidates for an adequate amount of time. If we do not obtain patent term extension for our product candidates, our business may be materially harmed.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Patent terms may be shortened or lengthened by, for example, terminal disclaimers, patent term adjustments, supplemental protection certificates and patent term extensions, but the life of a patent, and the protection it affords, is limited. Non-payment or delay in payment of patent fees, maintenance fees or annuities, delay in patent filings or delay in extension filings (including any patent term extension or adjustment filings), whether intentional or unintentional, may result in the loss of patent rights important to our business. Even if patents covering our product candidates are obtained, once the patent life has expired for a product candidate, we may be open to competition from competitive medications, including generic versions. Given the amount of time required for the development, testing and regulatory review of new product candidates, patents directed towards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(the Hatch-Waxman Act) and similar legislation in the EU and certain other jurisdictions. The Hatch-Waxman Act permits, in certain cases,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the amount of available extension to any extension-eligible patent which claims a product, a method of using a product or a method of manufacturing a product, depends on a variety of factors, including the date on which the patent issues and certain dates related to the regulatory review period.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to receive five years of new chemical entity exclusivity under the Hatch-Waxman Act; however, because the denatonium active moiety is off-patent, a third party could obtain NDA approval for a denatonium drug prior to our NDA approval. In this case, we would not receive five years of exclusivity.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AIA),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avenues for competitors to challenge the validity of patents. These include allowing third-party submission of prior art to the USPTO during patent prosecution and additional procedures to attack the validity of a patent by USPTO administered post-grant proceedings, PGR, IPR and derivation proceedings.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Under the unitary patent system, after a European patent is granted, the patent proprietor can request unitary effect, thereby getting a European patent with unitary effect (the Unitary Patent). Each Unitary Patent is subject to the jurisdiction of the Unified Patent Court (the UPC). As the UPC is a relatively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that are signatories to the UPC. We cannot predict with certainty the long-term effects of the unitary patent system.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Moreover, any name we propose or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enjoy only limited geographical protection with respect to certain patents and we may not be able to protect our intellectual property rights throughout the world.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 candidates that are similar to ours but that are not covered by the claims of the patents that we own or have exclusively licensed;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make the inventions covered by the issued patents or pending patent applications that we own or have exclusively licensed;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file patent applications covering certain of our inventions;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owned or licensed pending patent applications will not lead to issued patents;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have exclusively licensed may be held invalid or unenforceable, as a result of legal challenges by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based on our owned or licensed patent applications, including whether the patent applications that we own or in-license will result in issued patents with claims that cover our product candidates or uses thereof in the United States or in other foreign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of any patent issuing based on our owned or licensed patent applications may not provide protection against competitors or any competitive advantages, or may be challenged by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enforced, a court may not hold that our owned or licensed patents are valid, enforceable and infringed;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initiate litigation or administrative proceedings to enforce and/or defend our patent rights which will be costly whether we win or lose;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coordinate with licensors on enforcement of our patents;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and secure an issued patent covering such intellectual property;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Should any of these events occur, they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Legal and Regulatory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its implementing regulations, mandates, among other things, the adoption of uniform standards for the electronic exchange of information in common healthcare transactions, as well as standards relating to the privacy and security of protected health information (PHI), including individually identifiable health information, as defined under HIPAA, which require the adoption of administrative, physical and technical safeguards to protect such information. Among other things, HITECH makes HIPAA’s security standards directly applicable to business associates, defined as independent contractors or agents of covered entities, which include certain health care providers, health plans and healthcare clearinghouses,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and other personal data in certain circumstances, some of which are more stringent or otherwise different than HIPAA and many of which differ from each other in significant ways and may not have the same effect, thus complicating compliance efforts. Failure to comply with these laws, where applicable, can result in the imposition of significant civil and criminal penalties;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 keeping, licensing, storage and security requirements intended to prevent the unauthorized sale of pharmaceutical products.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state and foreign enforcement bodies regularly scrutinize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It is possible that governmental authorities will conclude that our business practices may not comply with current or future statutes, regulations or case law involving applicable fraud and abuse or other healthcare laws and regulations. If our operations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adversely affect our business, operating results, prospects or financial condition.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 the possibility that a healthcare company may run afoul of one or more of the requirements.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as amended by the Health Care and Education Reconciliation Act,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(the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there have been a number of health reform initiatives that have impacted the ACA. For example, on August 16, 2022, the Inflation Reduction Act (the IRA) became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imposes new manufacturer financial liability on certain drugs under Medicare Part D, allowing the U.S. government to negotiate Medicare Part B and Part D price caps for certain high-cost drugs and biologics without generic or biosimilar competition, subject to certain exemptions applicable to orphan drugs. It is possible that the ACA will be subject to judicial or congressional challenges or legislative modifications in the future. It is unclear how such challenges or modifications, and the healthcare reform measures of the current administration, will impact the ACA and our business.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For example, on November 27, 2024, the Biden administration issued a proposed rule entitled </w:t>
      </w:r>
      <w:r>
        <w:rPr>
          <w:rFonts w:ascii="Times New Roman" w:hAnsi="Times New Roman"/>
          <w:i/>
          <w:color w:val="000000"/>
          <w:sz w:val="20"/>
        </w:rPr>
        <w:t>Medicare and Medicaid Programs; Contract Year 2026 Policy and Technical Changes to the Medicare Advantage Program, Medicare Prescription Drug Benefit Program, Medicare Cost Plan Program, and Programs of All-Inclusive Care for the Elderly.</w:t>
      </w:r>
      <w:r>
        <w:rPr>
          <w:rFonts w:ascii="Times New Roman" w:hAnsi="Times New Roman"/>
          <w:color w:val="000000"/>
          <w:sz w:val="20"/>
        </w:rPr>
        <w:t xml:space="preserve"> The Centers for Medicare &amp; Medicaid Services (CMS) proposed that anti-obesity medications (AOMs), when used for weight loss or chronic weight management for the treatment of obesity, would no longer be excluded from Part D coverage. The aforementioned proposal would also apply to the Medicaid program. The Trump Administration did not finalize the proposal; however, we cannot predict the likelihood, nature or extent of government regulation that may arise from future legislation or administrative action.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remain in effect through 2032 unless additional Congressional action is taken. In certain countries outside the United States, reimbursement for products that have not yet received marketing authorization may be provided through national managed access programs.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has been heightened governmental scrutiny over the manner in which manufacturers set prices for their marketed products, which has resulted in several U.S. presidential executive orders,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took effect progressively starting in fiscal year 2023. On August 15, 2024, HHS announced the agreed-upon reimbursement prices of the first ten drugs that were subject to price negotiations. The prices of these ten drugs became effective January 1, 2026. On January 17, 2025, HHS announced its selection of 15 additional drugs covered by Part D for the second cycle of negotiations by February 1, 2025. Weight loss drugs, including Ozempic, Rybelsus, and Wegovy, were chosen for the drug price negotiation. Negotiated prices for this second set of drugs will be effective starting January 1, 2027. Each year thereafter more Part B and Part D products will become subject to the Medicare Drug Price Negotiation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Trump Administration has stated that lowering the cost of prescription drugs for Americans is a top priority and it will continue to pursue drug price negotiations. There may be a significant impact on reimbursement for particular Part D drugs, including AOMs. We cannot predict how this might change or how any changes might impact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Several pharmaceutical companies, as well as the U.S. Chamber of Commerce, and the Pharmaceutical Research and Manufacturers of America have filed lawsuits against HHS and CMS, asserting that, among other things, the IRA’s drug price negotiation program for Medicare constitutes an uncompensated taking in violation of the Fifth Amendment of the U.S. Constitution and is otherwise unlawful. HHS has generally won the substantive disputes in these cases, and several federal district court judges have expressed skepticism regarding the merits of the legal arguments being pursued by the pharmaceutical industry. HHS has generally continued to win the substantive disputes in appeals, although certain cases continue to seek appellate review.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Trump administration has indicated that it is pursuing policies to reduce regulations and expenditures across the government including at HHS, the FDA, CMS and related agencies. These actions, presently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CMMI, to consider new payment and healthcare models to limit drug spending; (3) eliminating the Biden administration’s executive order that directed HHS to establish an AI task force and develop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to standardize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One Big Beautiful Bill Act was signed into law, which reduced funding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healthcare programs and imposed additional requirements to be eligible for healthcare, which may result in decreased access to healthcare, particularly in Medicaid programs.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In light of widely publicized events concerning the safety risk of certain drug products, regulatory authorities, members of Congress, the Government Accountability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comparable foreign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Changing regulatory environments could negatively impact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Many European Economic Area (EEA) Member States periodically review their reimbursement procedures for medicinal products, which could have an adverse impact on reimbursement status. We expect that legislators, policymakers and healthcare insurance funds in the EEA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EEA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Member States. The extent to which pricing and reimbursement decisions are influenced by the HTA of the specific medicinal product currently varies between EU Member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December 2021, Regulation No. 2021/2282 on HTA, amending Directive 2011/24/EU, was adopted in the European Union. This Regulation, which entered into force in January 2022 and became applicable as of January 2025, is intended to boost cooperation among EEA Member States in assessing health technologies, including new medicinal products, and providing the basis for cooperation at European Union level for joint clinical assessments in these areas. The Regulation permits EEA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EEA Member States will continue to be responsible for assessing non-clinical (e.g., economic, social, ethical) aspects of health technologies, and making decisions on pricing and reimbursement. If we are unable to maintain favorable pricing and reimbursement status in EEA Member States for product candidates that we may successfully develop and for which we may obtain regulatory approval, any anticipated revenue from and growth prospects for those products in the European Union could be negatively affected.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engaged and will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 The SEC also may suspend or bar issuers from trading securities on U.S. exchanges for violations of the FCPA’s accounting provisions.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involves the use of hazardous and flammable materials, including chemicals and biological and radioactive materials. Each of our operations also produces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cannot guarantee that the safety procedures utilized by our third-party manufacturers and CROs for handling and disposing of these materials comply with the standards prescribed by these laws and regulations, nor can we eliminate the risk of accidental contamination or injury from these materials. Under certain environmental laws, we could be held responsible for costs relating to any contamination at our current or past facilities and at third-party facilities.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hazardous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commercialize any product candidates, alone or with our partners, any such product may become subject to unfavorable pricing regulations, third-party reimbursement practices or healthcare reform initiatives, which could adversely affect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products, which is time-consuming and costly.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 If coverage and reimbursement of our product candidates are unavailable or limited in scope or amount, our business could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previously identified a material weakness in our internal control over financial reporting, which was subsequently remediated.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the completion of our IPO, we were a private company with limited accounting personnel to adequately execute our accounting processes and limited supervisory resources with which to address our internal control over financial reporting. In connection with the preparation of our consolidated financial statements for the year ended December 31, 2024, a material weakness was identified in the design and operating effectiveness of our internal control over financial reporting. A material weakness is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deficiency, or combination of deficiencies, in internal control over financial reporting, such that there is a reasonable possibility that a material misstatement of the annual or interim consolidated financial statements will not be prevented or detected on a timely basis.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we have remediated the previously identified material weakness in our internal control over financial reporting. See Part II, Item 9A, “Controls and Procedures”, of our Annual Report on Form 10-K for the year ended December 31, 2025 for additional detail. However, our internal control over financial reporting may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identify additional material weaknesses or deficiencies in internal controls in the future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in the future, we identify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retain and motivate qualified personnel.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medical, scientific, technical, commercial, business, regulatory and administrative personnel. If we are not able to retain our management and to attract, on terms acceptable to us, additional qualified personnel necessary for the continued development of our business, we may not be able to sustain our operations or grow.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 Additionally, we do not currently maintain “key person” life insurance on the lives of our executives or any of our employees.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Following the FDA’s clinical hold on the ARD-101 program, we implemented a workforce reduction in the second quarter of 2026 to align our organization and cost structure with our revised operating priorities while maintaining the capabilities we believe are necessary to support our ongoing activities and potential future development plans for ARD-101. Workforce reductions such as this one can have unintended consequences, including attrition beyond the affected personnel, reduced employee morale, the loss of institutional knowledge and expertise, a diminished ability to attract and retain qualified personnel in the future, and distraction of our remaining employees and management. In addition, our workforce reduction may not achieve the anticipated cost savings or other intended benefits, may result in additional unforeseen costs, including in connection with severance or other termination-related obligations, and may adversely affect our ability to execute our business strategy, including our ongoing evaluation of potential future development plans for ARD-101.</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Moreover, as disclosed in our definitive proxy statement for our 2026 annual meeting of stockholders to be held on August 14, 2026 (the 2026 Annual Meeting), filed with the SEC on July 10, 2026 (the Proxy Statement), as of June 18, 2026, the closing price of our common stock on the Nasdaq Global Select Market was $3.93 per share, resulting in 99% of our total outstanding stock options held by our then-current employees being underwater, which means that the stock option exercise price exceeded the closing price of our common stock on such date. Underwater options have limited retention value for our employees because the stock option holder is not likely to exercise that stock option and will not have the desired incentive that the stock option was intended to provide. Although, as set forth in the Proxy Statement, we are seeking approval from our stockholders at the 2026 Annual Meeting for a proposal to reprice certain eligible options, there can be no assurance that our stockholders will approve such proposal. If our stockholders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approve the proposal or the proposal is not ultimately implemented, then the options will continue to be underwater and will continue to have limited retention value for our employees. In addition, even if the proposal is approved and implemented, there can be no assurance that any such repricing of the options will be sufficient to ensure the retention of our employees.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scarcity of experienced professionals in our industry. If we are not able to retain and recruit personnel with the requisite technical skills, we may be unable to successfully execute our business strategy.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specialized nature of our industry results in an inherent scarcity of experienced personnel in the field. Our future success depends upon our ability to attract and retain highly skilled personnel (including medical, scientific, technical, commercial, business, regulatory and administrative personnel) necessary to support our anticipated growth and develop our business. Given the scarcity of professionals with the scientific knowledge that we require and the competition for qualified personnel among biotechnology businesses, we may not succeed in attracting or retaining the personnel we require to continue and grow our operations.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 the past acquired, and may in the future acquire other assets, businesses or form joint ventures or make investments in other companies or technologies that could harm our operating results, dilute our stockholders’ ownership, increase our debt or cause us to incur significant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potential acquisition or strategic partnership may entail numerous risks,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contractual obligations or contingent liabilities;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product programs and initiatives in pursuing such a strategic merger or acquisition;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with the retention of key employees, the loss of key personnel, and uncertainties in our ability to maintain key business relationships;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their regulatory compliance status, and their existing products or product candidates and marketing approvals;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expand our clinical development and regulatory capabilities and potentially implement sales, marketing and distribution capabilities, and as a result, we may encounter difficulties in managing our growth, which could disrupt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July 31, 2026, we had 28 employees and 27 full-time or part-time consultants. As our development progresses, we may experience significant growth in the number of our employees and the scope of our operations, particularly in the areas of clinical development, product development and manufacturing, regulatory affairs, quality assurance and, if any of our product candidates receives marketing approval, sales, marketing and distribution. Managing any future growth would require: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preclinical studies and clinical trials effectively;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retaining, incentivizing and integrating additional employees, including additional clinical, manufacturing, regulatory, quality assurance, scientific development and sales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development efforts effectively, including the initiation and conduct of clinical trials for our product candidates;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 We currently have no marketing, sales or distribution capabilities. We intend to establish a sales and marketing organization, either on our own or in collaboration with third parties, with technical expertise and supporting distribution capabilities to commercialize ARD-101 or any other potential future product candidates that may receive regulatory approval in key territories. These efforts will require substantial additional resources.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we may not be able to successfully implement the tasks necessary to further develop and commercialize ARD-101 or any other product candidates and, accordingly, may not achieve our research, development and commercialization goals.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normal course of business, we periodically enter into commercial, service, collaboration, licensing, consulting and other agreements that contain indemnification provisions. For example, we have entered into agreements in which we agreed to indemnify an institution and related parties from any losses that may arise from claims relating to alleged infringement of intellectual property rights held by a third party and in which we agreed to indemnify a counterparty from third-party claims arising from the death of, injury to, or damage to property of any person resulting from the research, development or use of applicable rights or products under the agreement.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Should our obligation under an indemnification provision in any of our agreements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(NOL) carryforwards and certain other tax attributes to offset taxable income or taxes may be limited.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we had federal NOL carryforwards of $79.3 million and state NOL carryforwards of $96.5 million. Under the Internal Revenue Code of 1986, as amended (the Code), our U.S. federal NOLs will not expire and may be carried forward indefinitely but the deductibility of U.S. federal NOLs is limited to no more than 80% of current year taxable income (with certain adjustments), and the state loss carryforwards begin expiring in 2037 unless previously utilized.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raised funds several times in recent years, increasing the likelihood there have been changes in ownership that would limit our ability to utilize tax attribute carryforwards. Furthermore, there may be additional ownership changes in the future or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such an ownership change would harm our future results of operations by effectively increasing our future tax obligations. In addition, there is a risk that due to changes under the tax law, regulatory changes or other unforeseen reasons, our existing NOLs and other tax attributes could expire or otherwise be unavailable to offset future income tax liabilities.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all or a material portion of our NOLs and other tax attributes, which could adversely affect our future cash flows. We have recorded a full valuation allowance related to our NOLs and other deferred tax assets due to the uncertainty of the ultimate realization of the future benefits of those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are concentrated in one location, and we or the third parties upon whom we depend may be adversely affected by a wildfire, an earthquake or other natural disasters and our business continuity and disaster recovery plans may not adequately protect us from a serious disaster.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International expansion of our business will expose us to business, regulatory, political, operational, financial and economic risks associated with doing business outside of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strategy contemplates international expansion, including partnering with distributors, and introducing our current products and other planned products outside the United States. Doing business internationally involves a number of risks,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employment laws, regulatory requirements and other governmental approvals, permits and licenses;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failure by us or our distributors to obtain regulatory approvals for the sale or use of our current products and our planned future products in various countries;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foreign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associated with managing government payer systems, multiple payer-reimbursement regimes or self-pay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logistics and regulations associated with shipping products, including infrastructure conditions and transportation delays;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limits on our ability to penetrate international markets if our distributors do not execute successfully;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risks, such as longer payment cycles, difficulties enforcing contracts and collecting accounts receivable, and exposure to foreign currency exchange rate fluctuations;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 or lack of them in certain jurisdictions, forcing more reliance on our trade secrets, if available;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political and economic instability, including wars, terrorism and political unrest, including the outbreak of hostilities in Ukraine and Iran and other parts of the Middle East and potential destabilization in Venezuela, outbreak of disease, boycotts, curtailment of trade and other business restrictions;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 FCPA, including its books and records provisions and its anti-bribery provisions, by failing to maintain accurate information and control over sales activities and distributors’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of these risks, if encountered, could significantly harm our future international expansion and operations and consequently,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current and future product candidates in clinical trials and may face an even greater risk if we commercialize any product candidate that we may develop. For example, we may be sued if any drug we develop allegedly causes injury or is found to be otherwise unsuitable during clinical testing,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marketing or sale. Any such product liability claims may include allegations of defects in manufacturing, defects in design, a failure to warn of dangers inherent in the product, negligence, strict liability and breach of warranty. If we cannot successfully defend ourselves against claims that any such product candidates caused injuries, we could incur substantial liabilities. Regardless of merit or eventual outcome, liability claims may result in: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paid to trial participants, subjects or patients;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stock price;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disruptions of our information technology systems or data security incidents could result in significant financial, legal, regulatory, business and reputational harm to 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increasingly dependent on information technology systems and infrastructure, including mobile and third-party, cloud-based technologies, to operate our business. In the ordinary course of our business, we may collect, store, process and transmit large amounts of sensitive information, including intellectual property, proprietary business information, and other confidential information. It is important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 addition, we may face increased risks of a security breach or disruption due to our reliance on internet technology and the number of our employees who are working remotely, which may create additional opportunities for cybercriminals to exploit vulnerabilities.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Cyber incidents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and any delay in identifying them may lead to increased harm. In addition, the prevalent use of mobile devices increases the risk of data security incidents.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While we have no reason to believe that we have been subject to any material system failure, accident or security breach to date, we have experienced cybersecurity incidents in the past and expect that we will experience cybersecurity incidents in the future. In addition,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We and our partners and vendors may be subject to federal and state privacy and data protection laws and regulations as well as international laws that impose broad compliance obligations on the collection, possession, use, storage, access, disclosure, transfer, deletion and protection of personal data.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penalties if we violate HIPAA. HIPAA </w:t>
      </w:r>
      <w:r>
        <w:rPr>
          <w:rFonts w:ascii="Times New Roman" w:hAnsi="Times New Roman"/>
          <w:color w:val="231F20"/>
          <w:sz w:val="20"/>
        </w:rPr>
        <w:t xml:space="preserve">mandates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w:t>
      </w:r>
      <w:r>
        <w:rPr>
          <w:rFonts w:ascii="Times New Roman" w:hAnsi="Times New Roman"/>
          <w:color w:val="000000"/>
          <w:sz w:val="20"/>
        </w:rPr>
        <w:t>Depending on the facts and circumstances, we could be subject to criminal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for Civil Rights issued a proposed rule that would amend certain security compliance requirements for covered entities and business associates.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Even when HIPAA does not apply, according to the FTC, failing to take appropriate steps to keep consumers’ personal data secure may constitute unfair acts or practices in or affecting commerce in violation of the FTC Act. The FTC expects a company’s data security measures to be reasonable and appropriate in light of the sensitivity and volume of personal data it holds, the size and complexity of its business, and the cost of available tools to improve security and reduce vulnerabilities. Individually identifiable health information is considered sensitive data that merits stronger safeguards. Additionally, the FTC Health Breach Notification Rule applies to health apps and other similar technologies and has expanded breach notification requirements, which adds complexity to compliance obligations. Further, the SEC implemented rules around incident reporting, requiring cybersecurity incidents to be reported 4 business days after determining that an incident is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U.S. Department of Justice issued a final rule entitled, “Preventing Access to U.S. Sensitive Personal Data and Government-Related Data by Countries of Concern or Covered Persons,” codified at 28 CFR part 202, or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the California Consumer Privacy Act (CCPA), as revised and amended by the California Privacy Rights Act (CPRA),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Additional compliance investment and potential business process changes may be required.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While California was the first among the states to adopt comprehensive data privacy legislation similar to the GDPR, many other states are following suit, which could increase our potential liability and adversely affect our business. More than 20 states have adopted statewide comprehensive privacy laws and many other states have privacy legislation that is pending. Many of these new state laws contain some type of exemption for information collected under HIPAA and some data processed in the context of clinical trials, either at the entity level or the data level, so the impact might be limited particularly as it relates to PHI. Some states also have laws that specifically focus on the processing of personal data related to individuals’ health, including California’s Confidentiality of Medical Information Act and Washington’s My Health My Data Act. Changes to federal and state privacy laws may add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data protection laws, including the European Union’s General Data Protection Regulation (the EEA GDPR), and the United Kingdom’s equivalent of the same (the UK GDPR), may also apply to our processing of health-related and other personal data regardless of where the processing in question is carried out.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EEA GDPR and the UK GDPR (together, the GDPR) impose stringent requirements for controllers and processors of personal data of individuals within the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and risk, including more robust regulatory enforcement of data protection requirements and potential fines for non-compliance of up to €20 million (£17.5 million) or 4% of the annual global revenues of the non-compliant company, whichever is greater.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It remains too soon to tell how the DUAA will be implemented and what impact it will have on our international activities. Further, other EU and member state laws and regulations may impose further obligations or restrictions on processing health information in the EEA under frameworks, such as the European Health Data Space Regulation.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EEA, the NIS 2 Directive, or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become subject to NIS 2 in the future, we may require additional investment of our resources in compliance programs. Under NIS 2, companies may be subject to administrative fines of up to the higher amount of €10 million or 2% of worldwide turnover.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CROs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adversely affect our business, operating results, prospects or financial condition.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use certain artificial intelligence (AI) technologies, which present risks and challenges that could adversely impact our business.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We may use certain artificial intelligence (AI) technologies, which present risks and challenges that could adversely impact our business. As with many innovations, ineffective or inadequate AI development or deployment practices could result in unintended consequences. For example, AI algorithms we use in connection with our operations may be flawed or based on datasets that are biased or insufficient, potentially leading to errors in our business processes. Disruption or failure in AI functionality could adversely affect our business, cause delays or inaccuracies in our offerings, or harm our reputation. Conversely, if we are unable to adopt and deploy AI effectively as quickly as our competitors, it may cause us to be relatively less productive or innovative, adversely impacting our competitiveness and requiring additional investments that increase our costs. AI technologies may increase cybersecurity, privacy and data protection risks, including the risk that employees, contractors or vendors inadvertently input, expose, or enable access to confidential, proprietary, or regulated information through AI tools or related integrations. In addition, AI systems may be vulnerable to novel attacks (such as prompt injection or data poisoning) and, if we deploy AI-enabled automation or systems that can take actions based on AI outputs, those systems could execute unintended, unauthorized, or harmful actions due to inaccurate, manipulated, or improperly reviewed outputs. Laws and regulations regarding AI technologies are rapidly evolving as well, including in the areas of intellectual property, cybersecurity, privacy and data protection. Compliance with new or changing laws, regulations, or industry standards relating to AI may impose significant operational and financial burdens and may limit our ability to develop, deploy, or use AI technologies in our business</w:t>
      </w:r>
      <w:r>
        <w:rPr>
          <w:rFonts w:ascii="Times New Roman" w:hAnsi="Times New Roman"/>
          <w:i/>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the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any of our product candidates receive regulatory approval, they may fail to achieve the degree of market acceptance by physicians, patients, third-party payors and others in the medical community necessary for commercial success.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any of our product candidates receive regulatory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 but not limited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potential advantages compared to alternative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sales and marketing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 and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products for sale at competitive prices;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requirements of the FDA or comparable foreign regulatory authorities, including any limitations or warnings contained in a product’s approved labeling, including any black box warning or patient inserts;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the approved product candidate for use as a combination therapy;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treatments and of physicians to prescribe these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hire and retain a sales force in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and adequate reimbursement for our product candidates, once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satisfaction with the results and administration of our product candidates and overall treatment experience;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 (e.g., contraindications).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efforts to educate physicians, patients, third-party payors and others in the medical community on the benefits of our product candidates may require significant resources and may never be successful. Such efforts may require more resources than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could adversely affect our business and could require us to seek additional financing.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for our product candidates that may receive regulatory approval, we may not be successful in commercializing those product candidates if and when they are approved.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time-consuming, or collaborate with third parties that have direct sales forces and established distribution systems, either to augment our own sales force and distribution systems or in lieu of establishing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Factors that may inhibit our efforts to market our products on our own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in order to educate physicians about our product candidates, once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are not successful in commercializing our product candidates, either on our own or through arrangements with one or more third parties, we may not be able to generate any future product revenue and we would incur significant additional losses,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a smaller than expected commercial opportunity and/or others discovering, developing or commercializing products before or more successfully than we do.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 evolution of technologies, fierce competition and strong defense of intellectual property. We face competition from major pharmaceutical and biotechnology companies, academic institutions, governmental agencies and public and private research institutions, among others.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any of our product candidates are approved for the indications for which we expect to conduct clinical trials, we anticipate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potency, tolerability, convenience, price, level of generic competition, and availability of reimbursement.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With respect to ARD-101, Soleno Therapeutics’ (Soleno) VYKAT XR is the only approved treatment for PWS-associated hyperphagia. On April 6, 2026, Soleno announced that it entered into a definitive agreement for Neurocrine Biosciences, Inc. (Neurocrine) to acquire Soleno for $53.00 per share in cash, and the transaction closed in May 2026. We believe Neurocrine’s acquisition of Soleno may have the potential to accelerate the commercialization of VYKAT XR as Soleno has now become part of a larger organization with increased access to capital and broader commercialization capabilities. We are also aware of therapeutic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candidates in development programs with reported hyperphagia-reducing activity in patients with PWS, including those from Rhythm Pharmaceuticals, Relmada Therapeutics and Bright Minds Biosciences Inc.</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have significantly greater financial resources and expertise in research and development, manufacturing, preclinical studies, conducting clinical trials, obtaining regulatory approvals and marketing approved products than we do.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have fewer or less severe side effects, are more potent, are more convenient, are less expensive or are sold more effectively than any products that we may develop. Our competitors also may obtain FDA or other applicable regulatory authority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 Competitive products may make any products we develop obsolete or noncompetitive before we recover the expense of developing and commercializing our product candidates. If we are unable to compete effectively, our opportunity to generate revenue from the sale of any product candidates we develop, if approved,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success of our product candidates will depend significantly on coverage and adequate reimbursement or the willingness of patients to pay for these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FDA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We cannot be sure that coverage and reimbursement in the United States, the EEA or elsewhere will be available for our product candidates or any product that we may develop, and any reimbursement that may become available may be decreased or eliminated.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 increasing number of third-party payors are challenging prices charged for pharmaceutical products and services, and many third-party payors may refuse to provide coverage and reimbursement for particular drugs or biologics when an equivalent generic drug, biosimilar or a less expensive product is available. It is possible that a third-party payor may consider our product candidates as substitutable and only offer to reimburse patients for the less expensive drug. Even if we show more favorable efficacy or a more favorable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For products administered under the supervision of a physician, obtaining coverage and adequate reimbursement may be particularly difficult because higher prices are often associated with such drugs. Additionally, separate reimbursement for the product itself or the treatment or procedure in which the product is used may not be available, which may impact physician utilization. If reimbursement is not available or is available only at limited levels, we may not be able to successfully commercialize our product candidates, if approved, and may not be able to obtain a satisfactory financial return on our product candidates.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 Adoption of price controls and cost-containment measures, and adoption of more restrictive policies in jurisdictions with existing controls and measures within the United States, could further limit our net revenue and results. The IRA, for example, includes provisions that impose new manufacturer financial liability on certain drugs under Medicare Part D, allowing the U.S. government to negotiate Medicare Part B and Part D price caps for certain high-cost drugs and biologics without generic or biosimilar competition. Orphan drugs are exempted from the Medicare drug price negotiation program, but as described in CMS guidance, this exemption will apply only to products that have no more than one rare disease designation and for which the only approved indication is for that disease or condition. Decreases in third-party reimbursement for our drug product candidate or a decision by a third-party payor to not cover our drug product candidate could reduce physician usage of the drug product candidate and have a material adverse effect on our sales, results of operations and financial condition.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can be no assurance that our product candidates,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other countries where our products are sold will not adversely affect our ability to sell our product candidates profitably, if they are approved for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of our product candidates are smaller than we estimate, even assuming approval of a product candidate, our revenue may be adversely affected, and our business may suffer.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For example, PWS is a rare disease, and as such, our projections of both the number of people who have this disease, as well as the subset of people with PWS who have the potential to benefit from treatment with our product candidate, are based on estimates. Currently, most reported estimates of the prevalence of PWS are based on studies of small subsets of the population of specific geographic areas, which are then extrapolated to estimate the prevalence of the disease in the broader world population.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addressable market across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Ownership of Our Common Stock and Our Status as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and liquid trading market for our common stock may not develop and you may not be able to resell your shares of common stock at or above the public offering price, if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common stock has traded on the Nasdaq Global Select Market under the symbol "AARD" since February 13, 2025. We can provide no assurance that a more active or liquid trading market for our common stock will develop or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which could result in substantial losses for investors purchasing shares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 price of our common stock is volatile and could fluctuate widely in response to many factors, including but not limited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and instability in the financial and capital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product candidates, including the results of clinical trials by us or our collaborators;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competitors that impact our competitive outlook;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developments with respect to our product candidates, or similar products or product candidates with which we compete;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pause or terminate an existing clinical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with respect to patents or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 candidates, new products or new contracts by us or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strategic transactions, including acquisitions, collaborations, licenses or similar arrangements;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 due to the level of development expenses and other factors;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equities research analysts and whether our earnings (or losses) meet or exceed such estimates;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 and receipt, or lack of receipt, of funding in support of conducting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or issuances by us of shares of our common stock in connection with strategic transactions;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and trends in the pharmaceutical, biotechnology and other industries;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within, and outside of, the United States, including changes in the structure of healthcare payment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arbitration;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natural disasters or major catastrophic events;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and market conditions, acts of war or terrorism, such as the conflicts involving Ukraine and Russia, Israel or Iran and its surrounding regions, and other factors;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 risks described in Part I, Item 1A, “Risk Factors,” of our Annual Report on Form 10-K for the year ended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our IPO, we have experienced volatility in our stock price. For example, from February 13, 2025 (the date our common stock commenced trading on the Nasdaq Global Select Market) to August [8], 2026, our closing stock price ranged from [$3.48] to [$17.41] per share. In particular, following our announcement in February 2026 that we have voluntarily paused enrollment and dosing in the Phase 3 HERO trial and the OLE trial for ARD-101, and the POWER and STRENGTH clinical trials for ARD-201, based on reversible cardiac observations in a healthy volunteer study of ARD-101, the trading price of our common stock declined significantly, closing at $12.49 per share prior to the announcement on February 27, 2026 and then closing at $5.47 per share on March 2, 2026, the next trading day thereafter. When the market price of a stock has been volatile, as our stock price has been,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our operating results to be subject to quarterly and annual fluctuations which may, in turn, cause the price of our common stock to fluctuate significantly. Our net loss and other operating results will be affected by numerous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pre-commercial and, if approved, commercialization activities relating to our product candidates, which may change from time to time;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status of enrollment for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as well as building out our supply chain, which may vary depending on the quantity of production and the terms of our agreements with manufacturers;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we may make or receive under existing license and collaboration arrangements or the termination or modification thereof;</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strategic transactions, including acquisitions, collaborations, licenses or similar arrangements, and the timing and amount of payments we may make or receive in connection with such transactions;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and departures of key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receipt of approvals for, and the scope of or limitation on the marketing authorizations received on, our product candidates from regulatory authorities in the United States and internationally;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currently approved products or potential future drugs that compete or may compete with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 candidates, if approved, which may vary significantly over time;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inflation and rising interest rates on our business and operations;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dividends on our capital stock in the foreseeable future, capital appreciation, if any, will be your sole source of gain.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never declared or paid dividends on our capital stock. We currently intend to retain all of our future earnings, if any, to finance the growth and development, operation and expansion of our business and we do not anticipate declaring or paying any dividends in the foreseeable future. In addition, any future debt agreements may preclude us from paying dividends. As a result, capital appreciation of our common stock, which may never occur, will be your sole source of gain on your investment for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board of directors is authorized to issue and designate shares of our preferred stock without stockholder approval.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Fourth Amended and Restated Certificate of Incorporation, as may be amended from time to time (Certificate of Incorporation), authorizes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Conflicts of interest may arise because some members of our board of directors are representatives of our principal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are able to control matters subject to stockholder approval.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July 31, 2026, our executive officers, directors and holders of 5% or more of our capital stock beneficially owned approximately 52.3% of the outstanding shares of our common stock. As a result, such stockholders, acting together, have the ability to significantly influence all matters submitted to our board of directors or stockholders for approval, including the appointment of our management, amendments of our organizational documents, the election and removal of directors and approval of any major corporate transactions, as well as our management and business affairs. The interests of these stockholders may not be the same as or may even conflict with your interests. For example, these stockholders could delay, defer or prevent a change of control of our company, impede a merger, consolidation, takeover or other business combination involving us, or discourage a potential acquirer from making a tender offer or otherwise attempt to obtain control of our business, even if such a transaction would benefit our other stockholders. This could deprive our stockholders of an opportunity to receive a premium for their common stock as part of a sale of our company or our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that may be beneficial to our stockholders, and may prevent attempts by our stockholders to replace or remove our current management.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Certificate of Incorporation and Amended and Restated Bylaws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staggered board of directors divided into three classes serving staggered three-year terms, such that not all members of our board of directors will be elected at one time;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fill vacancies on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our annual stockholder meetings;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establish the number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is expressly authorized to make, alter or repeal our Bylaws;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can remove directors only for cause and only upon the approval of not less than 66-2/3% of all outstanding shares of our capital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66-2/3% of all outstanding shares of our capital stock to amend the Bylaws and specific provisions of the Certificate of Incorporation;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jurisdictions in which certain stockholder litigation may be brought.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because we are incorporated in Delaware, we are governed by Section 203 of the General Corporation Law of the State of Delaware (the DGCL), which may discourage, delay or prevent a change in control of our company. Section 203 imposes certain restrictions on mergers, business combinations and other transactions between us and holders of 15% or more of our common stock, unless the holder has held the stock for three years or, among other exceptions, our board of directors has approved the transaction. Any of the foregoing provisions could limit the price that investors might be willing to pay in the future for shares of our common stock, and they could deter potential acquirers of our company, thereby reducing the likelihood the holders of our common stock would receive a premium for their shares of our common stock in an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Certificate of Incorporation, to the fullest extent permitted by law, provides that,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the Certificate of Incorporation or the Bylaws; or (v) any other action asserting a claim that is governed by the internal affairs doctrine. In addition, the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believe these provisions benefit us by providing increased consistency in the application of Delaware law for the specified types of actions and proceedings, the provisions may result in increased costs to stockholders to bring a claim for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 and may have the effect of discouraging lawsuits against us or our directors and officers. Alternatively, if a court were to find the choice of forum provision contained in the Certificate of Incorporation to be inapplicable or unenforceable in an action, we may incur additional costs associated with resolving such action in other jurisdictions, which could adversely affect our business, operating results, prospects or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and future changes to tax laws could materially adversely affect our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IRA enacted many significant changes to the U.S. tax laws. Future guidance from the U.S.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On July 4, 2025, legislation commonly referred to as the One Big Beautiful Bill Act was signed into law and extended many of the tax law provisions that were set to expire in 2025. Further changes to the tax laws or changes to the administrative or judicial interpretations of such laws are possible and may apply with retroactive effect.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directors or officers may be subject to securities litigation, which is expensive and could divert management attention.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volatile. For example, following our announcement in February 2026 that we have voluntarily paused enrollment and dosing in the Phase 3 HERO trial and the OLE trial for ARD-101, and the POWER and STRENGTH clinical trials for ARD-201, based on reversible cardiac observations in a healthy volunteer study of ARD-101, the trading price of our common stock declined significantly, closing at $12.49 per share prior to the announcement on February 27, 2026 and then closing at $5.47 per share on March 2, 2026, the next trading day thereafter. In the past, companies that have experienced volatility and/or declines in the market price of their stock have been subject to securities class action litigation. Securities litigation (including the cost to defend against, and any potential adverse outcome resulting from any such proceeding) can be expensive, time-consuming, damage our reputation and divert our management’s and board of directors’ attention from other business concerns, which could adversely affect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is required to devote substantial time and resources to new compliance initiatives.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the Dodd-Frank Wall Street Reform and Consumer Protection Act, Nasdaq listing requirements, and other applicable securities rules and regulations. Complying with these rules and regulations has increased and will increase our legal and financial compliance costs, has made and will make some activities more difficult, time-consuming or costly, and has increased and will increase demand on our systems and resources. The Exchange Act currently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plan to hire additional support for financial reporting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controls and other finance personnel or consultants in order to improve and implement appropriate internal controls and reporting procedures, which will increase our costs and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would dilute our share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our 2025 Equity Incentive Plan (2025 Plan), our management is authorized to grant equity awards to our employees, directors and consultants. Initially, the aggregate number of shares of our common stock that may be issued pursuant to equity awards under the 2025 Plan was 2,150,000 shares, which was automatically increased by 1,090,767 shares effective January 1, 2026. Additionally, the number of shares of our common stock reserved for issuance under the 2025 Plan will automatically increase on January 1st of each year, continuing through and including January 1, 2035, by 5%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in May 2025, the Compensation Committee of the board of directors (the Compensation Committee) approved the Company's 2025 Inducement Equity Incentive Plan (the 2025 Inducement Plan) and reserved 900,000 shares of common stock for issuance thereby. If the board of directors or Compensation Committee approves issuances under the 2025 Inducement Plan, our stockholders may experience additional dilution, which could cause our stock price to fall.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23, 2026, we filed a shelf Registration Statement on Form S-3 (File No. 333-294537) that became effective on April 3, 2026, which allows us to undertake various equity and debt offerings up to $400.0 million. In addition, on March 23, 2026, we entered into an Equity Distribution Agreement with the Agent, pursuant to which we may offer and sell from time to time through the Agent up to $150.0 million in shares of our common stock. As of June 30, 2026, we have not sold any shares of common stock under the ATM Facility.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725,990 shares of our common stock that are subject to outstanding options under the 2017 Stock Plan, as amended, as of June 30, 2026 became eligible for sale in the public market after our IPO, to the extent permitted by the provisions of various vesting schedules and Rule 144 and Rule 701 under the Securities Act. If these additional shares of our common stock are sold, or if it is perceived that they will be sold, in the public market, the trading price of our common stock could decline.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holders of 5,710,444 shares of our outstanding common stock, or approximately 26.1% of our total outstanding common stock as of July 31, 2026,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Techniques employed by short sellers may drive down the market price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have taken advantage of these reduced reporting burdens in our periodic reports.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are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market for our common stock may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and clinical trials and operating results fail to meet the expectations of analysts, our stock price would likely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or political conditions could adversely affect our business, financial condition or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is susceptible to general conditions in the global economy and in the global financial markets. A global financial crisis or a global or regional political disruption could cause extreme volatility in the capital and credit markets. A severe or prolonged economic downturn, including a recession or depression resulting from the political disruption, could result in a variety of risks to our business, including weakened demand for our current or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drugs, if approved. The ongoing conflict between Russia and Ukraine and sanctions against Russia are causing disruptions to global economic conditions. The ongoing conflicts in the Middle East, including the war in Iran and its surrounding regions, and instability in Venezuela are also causing disruptions to global economic conditions. Further, in recent years the global equity markets in general have experienced extreme price and volume fluctuations, including as a result of economic uncertainty and increased interest rates, inflation, the government closure of Silicon Valley Bank and Signature Bank, and liquidity concerns at other financial institutions that may be unrelated to our operating performance. Any of the foregoing could materially and adversely affect our business, financial condition, results of operations and prospects, and we cannot anticipate all of the ways in which the political or economic climate and financial market conditions could adversely impact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the current U.S. administration has substantially departed from prior U.S. government international trade policy and has commenced activities to renegotiate, or potentially terminate, certain existing bilateral or multi-lateral trade agreements and treaties with foreign countries. In addition, the current U.S. administration has initiated and is considering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product candidates and negatively impact the United States or global economy or certain sectors thereof and, thus, could adversely impact our business, financial condition or results of operations.</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(a) Unregistered Sales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(b) Use of Proceeds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February 12, 2025, our registration statement on Form S-1 (File No. 333-284440) for our IPO was declared effective by the SEC. There has been no material change in the expected use of the net proceeds from our IPO as described in our final prospectus filed with the SEC pursuant to Rule 424(b) on February 13, 2025. As of June 30, 2026, we estimate that we have used approximately $82.9 million of the proceeds from our IPO for general corporate purposes, including to fund the clinical development of ARD-101 and our other clinical and preclinical activities, as well as operating expenses. No offering expenses were paid or are payable, directly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indirectly, to our directors or officers, to persons owning 10% or more of any class of our equity securities, or to any of our affiliates.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(c) Issuer Repurchases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
      <w:bookmarkEnd w:id="16"/>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our officers (as defined in Rule 16a-1(f)) and directors may enter into Rule 10b5-1 or non-Rule 10b5-1 trading arrangements (as each such term is defined in Item 408 of Regulation S-K). During the quarter ended June 30, 2026, none of our officers or directors adopted or terminated any such trading arrangements, except as described in the table below:</w:t>
      </w:r>
    </w:p>
    <w:tbl>
      <w:tblPr>
        <w:tblW w:w="10205" w:type="dxa"/>
        <w:jc w:val="left"/>
        <w:tblInd w:w="0" w:type="dxa"/>
        <w:tblLayout w:type="fixed"/>
        <w:tblCellMar>
          <w:top w:w="28" w:type="dxa"/>
          <w:left w:w="28" w:type="dxa"/>
          <w:bottom w:w="28" w:type="dxa"/>
          <w:right w:w="28" w:type="dxa"/>
        </w:tblCellMar>
      </w:tblPr>
      <w:tblGrid>
        <w:gridCol w:w="2530"/>
        <w:gridCol w:w="970"/>
        <w:gridCol w:w="1732"/>
        <w:gridCol w:w="3692"/>
        <w:gridCol w:w="1281"/>
      </w:tblGrid>
      <w:tr>
        <w:trPr/>
        <w:tc>
          <w:tcPr>
            <w:tcW w:w="253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253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Name &amp; Title</w:t>
            </w:r>
          </w:p>
        </w:tc>
        <w:tc>
          <w:tcPr>
            <w:tcW w:w="97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Date Adopted</w:t>
            </w:r>
          </w:p>
        </w:tc>
        <w:tc>
          <w:tcPr>
            <w:tcW w:w="173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Type of Plan</w:t>
            </w:r>
          </w:p>
        </w:tc>
        <w:tc>
          <w:tcPr>
            <w:tcW w:w="369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Aggregate Number of Shares of Common Stock to be Sold Pursuant to Trading Arrangement</w:t>
            </w:r>
          </w:p>
        </w:tc>
        <w:tc>
          <w:tcPr>
            <w:tcW w:w="128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Duration</w:t>
            </w:r>
          </w:p>
        </w:tc>
      </w:tr>
      <w:tr>
        <w:trPr/>
        <w:tc>
          <w:tcPr>
            <w:tcW w:w="253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Nelson Sun, Chief Financial Officer and Chief Operating Officer</w:t>
            </w:r>
          </w:p>
        </w:tc>
        <w:tc>
          <w:tcPr>
            <w:tcW w:w="9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June 11, 2026</w:t>
            </w:r>
          </w:p>
        </w:tc>
        <w:tc>
          <w:tcPr>
            <w:tcW w:w="17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Rule 10b5-1 trading arrangement</w:t>
            </w:r>
          </w:p>
        </w:tc>
        <w:tc>
          <w:tcPr>
            <w:tcW w:w="36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76,754</w:t>
            </w:r>
          </w:p>
        </w:tc>
        <w:tc>
          <w:tcPr>
            <w:tcW w:w="12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December 31, 2026*</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trading arrangement permits transactions through and including the earlier to occur of (a) the date that all shares subject to the trading arrangement have been sold and (b) the date listed in the table.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3"/>
        <w:gridCol w:w="146"/>
        <w:gridCol w:w="9216"/>
      </w:tblGrid>
      <w:tr>
        <w:trPr/>
        <w:tc>
          <w:tcPr>
            <w:tcW w:w="8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16" w:type="dxa"/>
            <w:tcBorders/>
            <w:shd w:fill="FFFFFF" w:val="clear"/>
            <w:vAlign w:val="center"/>
          </w:tcPr>
          <w:p>
            <w:pPr>
              <w:pStyle w:val="TableContents"/>
              <w:bidi w:val="0"/>
              <w:spacing w:before="0" w:after="283"/>
              <w:jc w:val="left"/>
              <w:rPr>
                <w:sz w:val="4"/>
                <w:szCs w:val="4"/>
              </w:rPr>
            </w:pPr>
            <w:r>
              <w:rPr>
                <w:sz w:val="4"/>
                <w:szCs w:val="4"/>
              </w:rPr>
            </w:r>
          </w:p>
        </w:tc>
      </w:tr>
      <w:tr>
        <w:trPr/>
        <w:tc>
          <w:tcPr>
            <w:tcW w:w="8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(incorporated by reference to Exhibit 3.1 of our Current Report on Form 8-K (File No. 001-42513), filed on February 14, 2025).</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(incorporated by reference to Exhibit 3.4 of Amendment No. 1 of our Registration Statement on Form S-1/A (File No. 333-284440), filed on February 6, 2025).</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(incorporated by reference to Exhibit 4.1 of Amendment No. 1 of our Registration Statement on Form S-1/A (File No. 333-284440), filed on February 6, 2025).</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10_1.htm">
              <w:r>
                <w:rPr>
                  <w:rStyle w:val="InternetLink"/>
                  <w:rFonts w:ascii="Times New Roman" w:hAnsi="Times New Roman"/>
                  <w:color w:val="0000FF"/>
                  <w:sz w:val="20"/>
                  <w:u w:val="single"/>
                </w:rPr>
                <w:t>Letter agreement, Re: Retention Bonus, dated June 10, 2026, between the Company and Nelson Sun.</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10_2.htm">
              <w:r>
                <w:rPr>
                  <w:rStyle w:val="InternetLink"/>
                  <w:rFonts w:ascii="Times New Roman" w:hAnsi="Times New Roman"/>
                  <w:color w:val="000080"/>
                  <w:sz w:val="20"/>
                  <w:u w:val="single"/>
                </w:rPr>
                <w:t>Letter agreement, Re: Retention Bonus, dated June 10, 2026, between the Company and Manasi Jaiman, M.D., Ph.D</w:t>
              </w:r>
            </w:hyperlink>
            <w:r>
              <w:rPr>
                <w:rFonts w:ascii="Times New Roman" w:hAnsi="Times New Roman"/>
                <w:color w:val="0000FF"/>
                <w:sz w:val="20"/>
                <w:u w:val="single"/>
              </w:rPr>
              <w:t>.</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31_1.htm">
              <w:r>
                <w:rPr>
                  <w:rStyle w:val="InternetLink"/>
                  <w:rFonts w:ascii="Times New Roman" w:hAnsi="Times New Roman"/>
                  <w:color w:val="0000FF"/>
                  <w:sz w:val="20"/>
                  <w:u w:val="single"/>
                </w:rPr>
                <w:t>Certification of the Principal Executive Officer pursuant to Rule 13a-14(a) or 15d-14(a) of the Securities Exchange Act of 1934.</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31_2.htm">
              <w:r>
                <w:rPr>
                  <w:rStyle w:val="InternetLink"/>
                  <w:rFonts w:ascii="Times New Roman" w:hAnsi="Times New Roman"/>
                  <w:color w:val="0000FF"/>
                  <w:sz w:val="20"/>
                  <w:u w:val="single"/>
                </w:rPr>
                <w:t>Certification of the Principal Financial Officer pursuant to Rule 13a-14(a) or 15d-14(a) of the Securities Exchange Act of 1934.</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32_1.htm">
              <w:r>
                <w:rPr>
                  <w:rStyle w:val="InternetLink"/>
                  <w:rFonts w:ascii="Times New Roman" w:hAnsi="Times New Roman"/>
                  <w:color w:val="0000FF"/>
                  <w:sz w:val="20"/>
                  <w:u w:val="single"/>
                </w:rPr>
                <w:t>Certification of the Principal Executive Officer pursuant to 18 U.S.C. Section 1350, as adopted pursuant to Section 906 of the Sarbanes-Oxley Act of 2002.</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hyperlink w:anchor="ck0001774857-ex32_2.htm">
              <w:r>
                <w:rPr>
                  <w:rStyle w:val="InternetLink"/>
                  <w:rFonts w:ascii="Times New Roman" w:hAnsi="Times New Roman"/>
                  <w:color w:val="0000FF"/>
                  <w:sz w:val="20"/>
                  <w:u w:val="single"/>
                </w:rPr>
                <w:t>Certification of the Principal Financial Officer pursuant to 18 U.S.C. Section 1350, as adopted pursuant to Section 906 of the Sarbanes-Oxley Act of 2002.</w:t>
              </w:r>
            </w:hyperlink>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ind w:left="0" w:right="9360" w:hanging="0"/>
        <w:jc w:val="left"/>
        <w:rPr/>
      </w:pPr>
      <w:r>
        <w:rPr/>
        <w:t> </w:t>
      </w:r>
    </w:p>
    <w:p>
      <w:pPr>
        <w:pStyle w:val="TextBody"/>
        <w:pBdr/>
        <w:bidi w:val="0"/>
        <w:spacing w:before="40" w:after="283"/>
        <w:ind w:left="0" w:right="0" w:hanging="490"/>
        <w:jc w:val="left"/>
        <w:rPr>
          <w:rFonts w:ascii="Times New Roman" w:hAnsi="Times New Roman"/>
          <w:color w:val="000000"/>
          <w:sz w:val="20"/>
        </w:rPr>
      </w:pPr>
      <w:r>
        <w:rPr>
          <w:rFonts w:ascii="Times New Roman" w:hAnsi="Times New Roman"/>
          <w:color w:val="000000"/>
          <w:sz w:val="20"/>
        </w:rPr>
        <w:t>* Filed herewith.</w:t>
      </w:r>
    </w:p>
    <w:p>
      <w:pPr>
        <w:pStyle w:val="TextBody"/>
        <w:pBdr/>
        <w:bidi w:val="0"/>
        <w:spacing w:before="40" w:after="283"/>
        <w:ind w:left="0" w:right="0" w:hanging="49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pBdr/>
        <w:bidi w:val="0"/>
        <w:spacing w:before="40" w:after="283"/>
        <w:ind w:left="0" w:right="0" w:hanging="490"/>
        <w:jc w:val="left"/>
        <w:rPr>
          <w:rFonts w:ascii="Times New Roman" w:hAnsi="Times New Roman"/>
          <w:color w:val="000000"/>
          <w:sz w:val="20"/>
        </w:rPr>
      </w:pPr>
      <w:r>
        <w:rPr>
          <w:rFonts w:ascii="Times New Roman" w:hAnsi="Times New Roman"/>
          <w:color w:val="000000"/>
          <w:sz w:val="20"/>
        </w:rPr>
        <w:t> Furnished herewith.</w:t>
      </w:r>
    </w:p>
    <w:p>
      <w:pPr>
        <w:pStyle w:val="TextBody"/>
        <w:pBdr/>
        <w:bidi w:val="0"/>
        <w:ind w:left="0" w:right="0" w:hanging="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6929" w:type="dxa"/>
        <w:jc w:val="left"/>
        <w:tblInd w:w="0" w:type="dxa"/>
        <w:tblLayout w:type="fixed"/>
        <w:tblCellMar>
          <w:top w:w="28" w:type="dxa"/>
          <w:left w:w="28" w:type="dxa"/>
          <w:bottom w:w="28" w:type="dxa"/>
          <w:right w:w="28" w:type="dxa"/>
        </w:tblCellMar>
      </w:tblPr>
      <w:tblGrid>
        <w:gridCol w:w="1951"/>
        <w:gridCol w:w="146"/>
        <w:gridCol w:w="406"/>
        <w:gridCol w:w="442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AARDVARK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2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Chief Operating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ind w:left="0" w:right="0" w:firstLine="49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right"/>
        <w:rPr/>
      </w:pPr>
      <w:bookmarkStart w:id="21" w:name="ck0001774857-ex10_1.htm"/>
      <w:bookmarkStart w:id="22" w:name="ksck0001774857ex10_1"/>
      <w:bookmarkEnd w:id="21"/>
      <w:bookmarkEnd w:id="22"/>
      <w:r>
        <w:rPr/>
        <w:drawing>
          <wp:inline distT="0" distB="0" distL="0" distR="0">
            <wp:extent cx="18669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866900" cy="400050"/>
                    </a:xfrm>
                    <a:prstGeom prst="rect">
                      <a:avLst/>
                    </a:prstGeom>
                  </pic:spPr>
                </pic:pic>
              </a:graphicData>
            </a:graphic>
          </wp:inline>
        </w:drawing>
      </w:r>
      <w:r>
        <w:rPr>
          <w:rFonts w:ascii="sans-serif" w:hAnsi="sans-serif"/>
          <w:b/>
          <w:color w:val="000000"/>
          <w:sz w:val="22"/>
        </w:rPr>
        <w:t>Exhibit 10.1</w:t>
      </w:r>
      <w:r>
        <w:br w:type="page"/>
      </w:r>
    </w:p>
    <w:p>
      <w:pPr>
        <w:pStyle w:val="TextBody"/>
        <w:bidi w:val="0"/>
        <w:jc w:val="left"/>
        <w:rPr/>
      </w:pPr>
      <w:r>
        <w:rPr/>
        <w:t> </w:t>
      </w:r>
    </w:p>
    <w:p>
      <w:pPr>
        <w:pStyle w:val="TextBody"/>
        <w:bidi w:val="0"/>
        <w:jc w:val="left"/>
        <w:rPr/>
      </w:pPr>
      <w:r>
        <w:rPr/>
        <w:t> </w:t>
      </w:r>
    </w:p>
    <w:p>
      <w:pPr>
        <w:pStyle w:val="TextBody"/>
        <w:bidi w:val="0"/>
        <w:spacing w:before="267" w:after="283"/>
        <w:jc w:val="left"/>
        <w:rPr>
          <w:rFonts w:ascii="sans-serif" w:hAnsi="sans-serif"/>
          <w:color w:val="000000"/>
          <w:sz w:val="22"/>
        </w:rPr>
      </w:pPr>
      <w:r>
        <w:rPr>
          <w:rFonts w:ascii="sans-serif" w:hAnsi="sans-serif"/>
          <w:color w:val="000000"/>
          <w:sz w:val="22"/>
        </w:rPr>
        <w:t>June 10, 2026</w:t>
      </w:r>
    </w:p>
    <w:p>
      <w:pPr>
        <w:pStyle w:val="TextBody"/>
        <w:bidi w:val="0"/>
        <w:jc w:val="left"/>
        <w:rPr/>
      </w:pPr>
      <w:r>
        <w:rPr/>
        <w:t> </w:t>
      </w:r>
    </w:p>
    <w:p>
      <w:pPr>
        <w:pStyle w:val="TextBody"/>
        <w:bidi w:val="0"/>
        <w:ind w:left="0" w:right="6840" w:hanging="0"/>
        <w:jc w:val="left"/>
        <w:rPr>
          <w:rFonts w:ascii="sans-serif" w:hAnsi="sans-serif"/>
          <w:color w:val="000000"/>
          <w:sz w:val="22"/>
        </w:rPr>
      </w:pPr>
      <w:r>
        <w:rPr>
          <w:rFonts w:ascii="sans-serif" w:hAnsi="sans-serif"/>
          <w:color w:val="000000"/>
          <w:sz w:val="22"/>
        </w:rPr>
        <w:t>Nelson Sun</w:t>
      </w:r>
    </w:p>
    <w:p>
      <w:pPr>
        <w:pStyle w:val="TextBody"/>
        <w:bidi w:val="0"/>
        <w:ind w:left="0" w:right="3940" w:hanging="0"/>
        <w:jc w:val="left"/>
        <w:rPr>
          <w:rFonts w:ascii="sans-serif" w:hAnsi="sans-serif"/>
          <w:color w:val="000000"/>
          <w:sz w:val="22"/>
        </w:rPr>
      </w:pPr>
      <w:r>
        <w:rPr>
          <w:rFonts w:ascii="sans-serif" w:hAnsi="sans-serif"/>
          <w:color w:val="000000"/>
          <w:sz w:val="22"/>
        </w:rPr>
        <w:t>Via email to [***]</w:t>
      </w:r>
    </w:p>
    <w:p>
      <w:pPr>
        <w:pStyle w:val="TextBody"/>
        <w:bidi w:val="0"/>
        <w:spacing w:before="9" w:after="283"/>
        <w:jc w:val="left"/>
        <w:rPr/>
      </w:pPr>
      <w:r>
        <w:rPr/>
        <w:t> </w:t>
      </w:r>
    </w:p>
    <w:p>
      <w:pPr>
        <w:pStyle w:val="TextBody"/>
        <w:bidi w:val="0"/>
        <w:spacing w:before="9" w:after="283"/>
        <w:jc w:val="left"/>
        <w:rPr>
          <w:rFonts w:ascii="sans-serif" w:hAnsi="sans-serif"/>
          <w:color w:val="000000"/>
          <w:sz w:val="22"/>
        </w:rPr>
      </w:pPr>
      <w:r>
        <w:rPr>
          <w:rFonts w:ascii="sans-serif" w:hAnsi="sans-serif"/>
          <w:color w:val="000000"/>
          <w:sz w:val="22"/>
        </w:rPr>
        <w:t>Re: Retention Bonus</w:t>
      </w:r>
    </w:p>
    <w:p>
      <w:pPr>
        <w:pStyle w:val="TextBody"/>
        <w:bidi w:val="0"/>
        <w:spacing w:before="9" w:after="283"/>
        <w:jc w:val="left"/>
        <w:rPr/>
      </w:pPr>
      <w:r>
        <w:rPr/>
        <w:t> </w:t>
      </w:r>
    </w:p>
    <w:p>
      <w:pPr>
        <w:pStyle w:val="TextBody"/>
        <w:bidi w:val="0"/>
        <w:spacing w:before="1" w:after="283"/>
        <w:jc w:val="left"/>
        <w:rPr>
          <w:rFonts w:ascii="sans-serif" w:hAnsi="sans-serif"/>
          <w:color w:val="000000"/>
          <w:sz w:val="22"/>
        </w:rPr>
      </w:pPr>
      <w:r>
        <w:rPr>
          <w:rFonts w:ascii="sans-serif" w:hAnsi="sans-serif"/>
          <w:color w:val="000000"/>
          <w:sz w:val="22"/>
        </w:rPr>
        <w:t>Dear Nelson:</w:t>
      </w:r>
    </w:p>
    <w:p>
      <w:pPr>
        <w:pStyle w:val="TextBody"/>
        <w:bidi w:val="0"/>
        <w:spacing w:before="9" w:after="283"/>
        <w:ind w:left="360" w:right="0" w:hanging="0"/>
        <w:jc w:val="left"/>
        <w:rPr/>
      </w:pPr>
      <w:r>
        <w:rPr/>
        <w:t> </w:t>
      </w:r>
    </w:p>
    <w:p>
      <w:pPr>
        <w:pStyle w:val="TextBody"/>
        <w:bidi w:val="0"/>
        <w:spacing w:before="95" w:after="283"/>
        <w:ind w:left="0" w:right="94" w:hanging="0"/>
        <w:jc w:val="both"/>
        <w:rPr>
          <w:rFonts w:ascii="Times New Roman" w:hAnsi="Times New Roman"/>
          <w:sz w:val="20"/>
        </w:rPr>
      </w:pPr>
      <w:r>
        <w:rPr>
          <w:rFonts w:ascii="sans-serif" w:hAnsi="sans-serif"/>
          <w:color w:val="000000"/>
          <w:sz w:val="22"/>
        </w:rPr>
        <w:t>Aardvark Therapeutics, Inc. (the “</w:t>
      </w:r>
      <w:r>
        <w:rPr>
          <w:rFonts w:ascii="sans-serif" w:hAnsi="sans-serif"/>
          <w:color w:val="000000"/>
          <w:sz w:val="22"/>
          <w:u w:val="single"/>
        </w:rPr>
        <w:t>Company</w:t>
      </w:r>
      <w:r>
        <w:rPr>
          <w:rFonts w:ascii="Times New Roman" w:hAnsi="Times New Roman"/>
          <w:color w:val="000000"/>
          <w:sz w:val="20"/>
        </w:rPr>
        <w:t>”</w:t>
      </w:r>
      <w:r>
        <w:rPr>
          <w:rFonts w:ascii="sans-serif" w:hAnsi="sans-serif"/>
          <w:color w:val="000000"/>
          <w:sz w:val="22"/>
        </w:rPr>
        <w:t>) is pleased to offer you the opportunity to receive a cash retention bonus in the aggregate amount of $346,500 (the “</w:t>
      </w:r>
      <w:r>
        <w:rPr>
          <w:rFonts w:ascii="sans-serif" w:hAnsi="sans-serif"/>
          <w:color w:val="000000"/>
          <w:sz w:val="22"/>
          <w:u w:val="single"/>
        </w:rPr>
        <w:t>Retention Bonus</w:t>
      </w:r>
      <w:r>
        <w:rPr>
          <w:rFonts w:ascii="Times New Roman" w:hAnsi="Times New Roman"/>
          <w:color w:val="000000"/>
          <w:sz w:val="20"/>
        </w:rPr>
        <w:t>”</w:t>
      </w:r>
      <w:r>
        <w:rPr>
          <w:rFonts w:ascii="sans-serif" w:hAnsi="sans-serif"/>
          <w:color w:val="000000"/>
          <w:sz w:val="22"/>
        </w:rPr>
        <w:t>), on the following terms and conditions.</w:t>
      </w:r>
    </w:p>
    <w:p>
      <w:pPr>
        <w:pStyle w:val="TextBody"/>
        <w:pBdr/>
        <w:bidi w:val="0"/>
        <w:ind w:left="0" w:right="85" w:hanging="678"/>
        <w:jc w:val="both"/>
        <w:rPr/>
      </w:pPr>
      <w:r>
        <w:rPr/>
        <w:t> </w:t>
      </w:r>
    </w:p>
    <w:p>
      <w:pPr>
        <w:pStyle w:val="TextBody"/>
        <w:bidi w:val="0"/>
        <w:ind w:left="0" w:right="86" w:hanging="0"/>
        <w:jc w:val="both"/>
        <w:rPr>
          <w:rFonts w:ascii="Times New Roman" w:hAnsi="Times New Roman"/>
          <w:sz w:val="20"/>
        </w:rPr>
      </w:pPr>
      <w:r>
        <w:rPr>
          <w:rFonts w:ascii="sans-serif" w:hAnsi="sans-serif"/>
          <w:color w:val="000000"/>
          <w:sz w:val="22"/>
        </w:rPr>
        <w:t>The Retention Bonus consists of two components: (i) the first component of the Retention Bonus ($198,000) is a guarantee of your 2026 annual bonus (the “</w:t>
      </w:r>
      <w:r>
        <w:rPr>
          <w:rFonts w:ascii="sans-serif" w:hAnsi="sans-serif"/>
          <w:color w:val="000000"/>
          <w:sz w:val="22"/>
          <w:u w:val="single"/>
        </w:rPr>
        <w:t>Guaranteed Bonus Portion</w:t>
      </w:r>
      <w:r>
        <w:rPr>
          <w:rFonts w:ascii="Times New Roman" w:hAnsi="Times New Roman"/>
          <w:color w:val="000000"/>
          <w:sz w:val="20"/>
        </w:rPr>
        <w:t>”</w:t>
      </w:r>
      <w:r>
        <w:rPr>
          <w:rFonts w:ascii="sans-serif" w:hAnsi="sans-serif"/>
          <w:color w:val="000000"/>
          <w:sz w:val="22"/>
        </w:rPr>
        <w:t>), and (ii) the remaining component ($148,500) is intended solely as a retention bonus for your continued service through the Retention Date (as defined below). Your 2026 annual bonus, if any, based on the achievement of applicable goals, will be reduced (but not below zero) by the Guaranteed Bonus Portion.</w:t>
      </w:r>
      <w:r>
        <w:rPr>
          <w:rFonts w:ascii="Times New Roman" w:hAnsi="Times New Roman"/>
          <w:color w:val="000000"/>
          <w:sz w:val="20"/>
        </w:rPr>
        <w:t xml:space="preserve"> </w:t>
      </w:r>
    </w:p>
    <w:p>
      <w:pPr>
        <w:pStyle w:val="TextBody"/>
        <w:bidi w:val="0"/>
        <w:ind w:left="0" w:right="86" w:hanging="0"/>
        <w:jc w:val="left"/>
        <w:rPr/>
      </w:pPr>
      <w:r>
        <w:rPr/>
        <w:t> </w:t>
      </w:r>
    </w:p>
    <w:p>
      <w:pPr>
        <w:pStyle w:val="TextBody"/>
        <w:bidi w:val="0"/>
        <w:ind w:left="0" w:right="86" w:hanging="0"/>
        <w:jc w:val="both"/>
        <w:rPr>
          <w:rFonts w:ascii="Times New Roman" w:hAnsi="Times New Roman"/>
          <w:sz w:val="20"/>
        </w:rPr>
      </w:pPr>
      <w:r>
        <w:rPr>
          <w:rFonts w:ascii="sans-serif" w:hAnsi="sans-serif"/>
          <w:color w:val="000000"/>
          <w:sz w:val="22"/>
        </w:rPr>
        <w:t>The Company will pay you the Retention Bonus on January 1, 2027 (the “</w:t>
      </w:r>
      <w:r>
        <w:rPr>
          <w:rFonts w:ascii="sans-serif" w:hAnsi="sans-serif"/>
          <w:color w:val="000000"/>
          <w:sz w:val="22"/>
          <w:u w:val="single"/>
        </w:rPr>
        <w:t>Retention Date</w:t>
      </w:r>
      <w:r>
        <w:rPr>
          <w:rFonts w:ascii="Times New Roman" w:hAnsi="Times New Roman"/>
          <w:color w:val="000000"/>
          <w:sz w:val="20"/>
        </w:rPr>
        <w:t>”</w:t>
      </w:r>
      <w:r>
        <w:rPr>
          <w:rFonts w:ascii="sans-serif" w:hAnsi="sans-serif"/>
          <w:color w:val="000000"/>
          <w:sz w:val="22"/>
        </w:rPr>
        <w:t xml:space="preserve">), subject to your continued employment with the Company through such date. However, if prior to the Retention Date, the Company terminates your employment without Cause (as defined in </w:t>
      </w:r>
      <w:r>
        <w:rPr>
          <w:rFonts w:ascii="sans-serif" w:hAnsi="sans-serif"/>
          <w:color w:val="000000"/>
          <w:sz w:val="22"/>
          <w:u w:val="single"/>
        </w:rPr>
        <w:t>Exhibit A</w:t>
      </w:r>
      <w:r>
        <w:rPr>
          <w:rFonts w:ascii="sans-serif" w:hAnsi="sans-serif"/>
          <w:color w:val="000000"/>
          <w:sz w:val="22"/>
        </w:rPr>
        <w:t xml:space="preserve">) or you resign for Good Reason (as defined in </w:t>
      </w:r>
      <w:r>
        <w:rPr>
          <w:rFonts w:ascii="sans-serif" w:hAnsi="sans-serif"/>
          <w:color w:val="000000"/>
          <w:sz w:val="22"/>
          <w:u w:val="single"/>
        </w:rPr>
        <w:t>Exhibit A</w:t>
      </w:r>
      <w:r>
        <w:rPr>
          <w:rFonts w:ascii="sans-serif" w:hAnsi="sans-serif"/>
          <w:color w:val="000000"/>
          <w:sz w:val="22"/>
        </w:rPr>
        <w:t>), subject to your execution and delivery to the Company of a full and complete release of any and all claims in a form prescribed by the Company that you execute and deliver to the Company (and that becomes effective and irrevocable within sixty (60) days after your termination of employment), the Company will pay you the Retention Bonus on the date occurring sixty (60) days following your termination of employment with the Company.</w:t>
      </w:r>
      <w:r>
        <w:rPr>
          <w:rFonts w:ascii="Times New Roman" w:hAnsi="Times New Roman"/>
          <w:color w:val="000000"/>
          <w:sz w:val="20"/>
        </w:rPr>
        <w:t xml:space="preserve"> </w:t>
      </w:r>
    </w:p>
    <w:p>
      <w:pPr>
        <w:pStyle w:val="TextBody"/>
        <w:bidi w:val="0"/>
        <w:ind w:left="0" w:right="86" w:hanging="0"/>
        <w:jc w:val="both"/>
        <w:rPr/>
      </w:pPr>
      <w:r>
        <w:rPr/>
        <w:t> </w:t>
      </w:r>
    </w:p>
    <w:p>
      <w:pPr>
        <w:pStyle w:val="TextBody"/>
        <w:bidi w:val="0"/>
        <w:ind w:left="0" w:right="86" w:hanging="0"/>
        <w:jc w:val="both"/>
        <w:rPr>
          <w:rFonts w:ascii="Times New Roman" w:hAnsi="Times New Roman"/>
          <w:sz w:val="20"/>
        </w:rPr>
      </w:pPr>
      <w:r>
        <w:rPr>
          <w:rFonts w:ascii="sans-serif" w:hAnsi="sans-serif"/>
          <w:color w:val="000000"/>
          <w:sz w:val="22"/>
        </w:rPr>
        <w:t>All payments hereunder are subject to reduction to reflect applicable withholding and payroll taxes and other deductions required by law.</w:t>
      </w:r>
      <w:r>
        <w:rPr>
          <w:rFonts w:ascii="Times New Roman" w:hAnsi="Times New Roman"/>
          <w:color w:val="000000"/>
          <w:sz w:val="20"/>
        </w:rPr>
        <w:t xml:space="preserve"> </w:t>
      </w:r>
    </w:p>
    <w:p>
      <w:pPr>
        <w:pStyle w:val="TextBody"/>
        <w:bidi w:val="0"/>
        <w:spacing w:before="8" w:after="283"/>
        <w:ind w:left="360" w:right="85" w:hanging="0"/>
        <w:jc w:val="both"/>
        <w:rPr/>
      </w:pPr>
      <w:r>
        <w:rPr/>
        <w:t> </w:t>
      </w:r>
    </w:p>
    <w:p>
      <w:pPr>
        <w:pStyle w:val="TextBody"/>
        <w:bidi w:val="0"/>
        <w:ind w:left="0" w:right="85" w:hanging="0"/>
        <w:jc w:val="both"/>
        <w:rPr>
          <w:rFonts w:ascii="sans-serif" w:hAnsi="sans-serif"/>
          <w:color w:val="000000"/>
          <w:sz w:val="22"/>
        </w:rPr>
      </w:pPr>
      <w:r>
        <w:rPr>
          <w:rFonts w:ascii="sans-serif" w:hAnsi="sans-serif"/>
          <w:color w:val="000000"/>
          <w:sz w:val="22"/>
        </w:rPr>
        <w:t>Nothing in this letter will confer upon you any right to continued employment with the Company (or its affiliates or their respective successors) or interfere in any way with the right of the Company (or its affiliates or their respective successors) to terminate your employment at any time, without notice, and for any or no reason. The Retention Bonus is discretionary in nature and does not create any contractual or other right to future similar payments. The Retention Bonus is also intended to be a short-term deferral for purposes of Section 409A of the Internal Revenue Code of 1986, as amended, and this letter shall be interpreted consistent with that intent.</w:t>
      </w:r>
    </w:p>
    <w:p>
      <w:pPr>
        <w:pStyle w:val="TextBody"/>
        <w:bidi w:val="0"/>
        <w:ind w:left="0" w:right="85" w:hanging="0"/>
        <w:jc w:val="both"/>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669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866900" cy="400050"/>
                    </a:xfrm>
                    <a:prstGeom prst="rect">
                      <a:avLst/>
                    </a:prstGeom>
                  </pic:spPr>
                </pic:pic>
              </a:graphicData>
            </a:graphic>
          </wp:inline>
        </w:drawing>
      </w:r>
    </w:p>
    <w:p>
      <w:pPr>
        <w:pStyle w:val="TextBody"/>
        <w:bidi w:val="0"/>
        <w:jc w:val="left"/>
        <w:rPr/>
      </w:pPr>
      <w:r>
        <w:rPr/>
        <w:t> </w:t>
      </w:r>
    </w:p>
    <w:p>
      <w:pPr>
        <w:pStyle w:val="TextBody"/>
        <w:bidi w:val="0"/>
        <w:ind w:left="0" w:right="85" w:hanging="0"/>
        <w:jc w:val="both"/>
        <w:rPr>
          <w:rFonts w:ascii="sans-serif" w:hAnsi="sans-serif"/>
          <w:color w:val="000000"/>
          <w:sz w:val="22"/>
        </w:rPr>
      </w:pPr>
      <w:r>
        <w:rPr>
          <w:rFonts w:ascii="sans-serif" w:hAnsi="sans-serif"/>
          <w:color w:val="000000"/>
          <w:sz w:val="22"/>
        </w:rPr>
        <w:t>This letter will be construed and enforced in accordance with the laws of the State of California, without giving effect to its conflicts of law. This letter constitutes the entire agreement between you and the Company with respect to the Retention Bonus, and supersedes any prior understandings or agreements, whether oral or written, between you and the Company regarding the Retention Bonus.</w:t>
      </w:r>
    </w:p>
    <w:p>
      <w:pPr>
        <w:pStyle w:val="TextBody"/>
        <w:bidi w:val="0"/>
        <w:spacing w:before="180" w:after="283"/>
        <w:jc w:val="left"/>
        <w:rPr>
          <w:rFonts w:ascii="sans-serif" w:hAnsi="sans-serif"/>
          <w:color w:val="000000"/>
          <w:sz w:val="22"/>
        </w:rPr>
      </w:pPr>
      <w:r>
        <w:rPr>
          <w:rFonts w:ascii="sans-serif" w:hAnsi="sans-serif"/>
          <w:color w:val="000000"/>
          <w:sz w:val="22"/>
        </w:rPr>
        <w:t>Sincerely,</w:t>
      </w:r>
    </w:p>
    <w:p>
      <w:pPr>
        <w:pStyle w:val="TextBody"/>
        <w:bidi w:val="0"/>
        <w:spacing w:before="180" w:after="283"/>
        <w:jc w:val="left"/>
        <w:rPr>
          <w:rFonts w:ascii="sans-serif" w:hAnsi="sans-serif"/>
          <w:b/>
          <w:color w:val="000000"/>
          <w:sz w:val="22"/>
        </w:rPr>
      </w:pPr>
      <w:r>
        <w:rPr>
          <w:rFonts w:ascii="sans-serif" w:hAnsi="sans-serif"/>
          <w:b/>
          <w:color w:val="000000"/>
          <w:sz w:val="22"/>
        </w:rPr>
        <w:t>Aardvark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/s/ Tien-Li Lee</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Tien-Li Lee, M.D.</w:t>
      </w:r>
    </w:p>
    <w:p>
      <w:pPr>
        <w:pStyle w:val="TextBody"/>
        <w:bidi w:val="0"/>
        <w:jc w:val="left"/>
        <w:rPr>
          <w:rFonts w:ascii="sans-serif" w:hAnsi="sans-serif"/>
          <w:color w:val="000000"/>
          <w:sz w:val="22"/>
        </w:rPr>
      </w:pPr>
      <w:r>
        <w:rPr>
          <w:rFonts w:ascii="sans-serif" w:hAnsi="sans-serif"/>
          <w:color w:val="000000"/>
          <w:sz w:val="22"/>
        </w:rPr>
        <w:t>Chief Executive Officer</w:t>
      </w:r>
    </w:p>
    <w:p>
      <w:pPr>
        <w:pStyle w:val="TextBody"/>
        <w:bidi w:val="0"/>
        <w:jc w:val="left"/>
        <w:rPr/>
      </w:pPr>
      <w:r>
        <w:rPr/>
        <w:t> </w:t>
      </w:r>
    </w:p>
    <w:p>
      <w:pPr>
        <w:pStyle w:val="TextBody"/>
        <w:bidi w:val="0"/>
        <w:jc w:val="left"/>
        <w:rPr>
          <w:rFonts w:ascii="sans-serif" w:hAnsi="sans-serif"/>
          <w:b/>
          <w:i/>
          <w:color w:val="000000"/>
          <w:sz w:val="22"/>
        </w:rPr>
      </w:pPr>
      <w:r>
        <w:rPr>
          <w:rFonts w:ascii="sans-serif" w:hAnsi="sans-serif"/>
          <w:b/>
          <w:i/>
          <w:color w:val="000000"/>
          <w:sz w:val="22"/>
        </w:rPr>
        <w:t>Accepted: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/s/ Nelson Sun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Nelson Sun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 xml:space="preserve">6/10/2026 </w:t>
      </w:r>
      <w:r>
        <w:rPr>
          <w:rFonts w:ascii="sans-serif" w:hAnsi="sans-serif"/>
          <w:color w:val="000000"/>
          <w:sz w:val="22"/>
        </w:rPr>
        <w:t>_</w:t>
      </w:r>
    </w:p>
    <w:p>
      <w:pPr>
        <w:pStyle w:val="TextBody"/>
        <w:bidi w:val="0"/>
        <w:jc w:val="left"/>
        <w:rPr>
          <w:rFonts w:ascii="sans-serif" w:hAnsi="sans-serif"/>
          <w:color w:val="000000"/>
          <w:sz w:val="22"/>
        </w:rPr>
      </w:pPr>
      <w:r>
        <w:rPr>
          <w:rFonts w:ascii="sans-serif" w:hAnsi="sans-serif"/>
          <w:color w:val="000000"/>
          <w:sz w:val="22"/>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669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1866900" cy="400050"/>
                    </a:xfrm>
                    <a:prstGeom prst="rect">
                      <a:avLst/>
                    </a:prstGeom>
                  </pic:spPr>
                </pic:pic>
              </a:graphicData>
            </a:graphic>
          </wp:inline>
        </w:drawing>
      </w:r>
    </w:p>
    <w:p>
      <w:pPr>
        <w:pStyle w:val="TextBody"/>
        <w:bidi w:val="0"/>
        <w:jc w:val="left"/>
        <w:rPr/>
      </w:pPr>
      <w:r>
        <w:rPr/>
        <w:t> </w:t>
      </w:r>
    </w:p>
    <w:p>
      <w:pPr>
        <w:pStyle w:val="TextBody"/>
        <w:bidi w:val="0"/>
        <w:spacing w:before="120" w:after="283"/>
        <w:jc w:val="center"/>
        <w:rPr>
          <w:rFonts w:ascii="sans-serif" w:hAnsi="sans-serif"/>
          <w:b/>
          <w:color w:val="000000"/>
          <w:sz w:val="22"/>
          <w:u w:val="single"/>
        </w:rPr>
      </w:pPr>
      <w:r>
        <w:rPr>
          <w:rFonts w:ascii="sans-serif" w:hAnsi="sans-serif"/>
          <w:b/>
          <w:color w:val="000000"/>
          <w:sz w:val="22"/>
          <w:u w:val="single"/>
        </w:rPr>
        <w:t>Exhibit A</w:t>
      </w:r>
    </w:p>
    <w:p>
      <w:pPr>
        <w:pStyle w:val="TextBody"/>
        <w:bidi w:val="0"/>
        <w:spacing w:before="120" w:after="283"/>
        <w:ind w:left="302" w:right="0" w:hanging="0"/>
        <w:jc w:val="left"/>
        <w:rPr/>
      </w:pPr>
      <w:r>
        <w:rPr/>
        <w:t> </w:t>
      </w:r>
    </w:p>
    <w:p>
      <w:pPr>
        <w:pStyle w:val="TextBody"/>
        <w:bidi w:val="0"/>
        <w:spacing w:before="120" w:after="283"/>
        <w:ind w:left="86" w:right="0" w:hanging="0"/>
        <w:jc w:val="both"/>
        <w:rPr/>
      </w:pPr>
      <w:r>
        <w:rPr>
          <w:color w:val="000000"/>
        </w:rPr>
        <w:t>“</w:t>
      </w:r>
      <w:r>
        <w:rPr>
          <w:rFonts w:ascii="sans-serif" w:hAnsi="sans-serif"/>
          <w:color w:val="000000"/>
          <w:sz w:val="22"/>
          <w:u w:val="single"/>
        </w:rPr>
        <w:t>Cause</w:t>
      </w:r>
      <w:r>
        <w:rPr>
          <w:rFonts w:ascii="Times New Roman" w:hAnsi="Times New Roman"/>
          <w:color w:val="000000"/>
          <w:sz w:val="20"/>
        </w:rPr>
        <w:t xml:space="preserve">” </w:t>
      </w:r>
      <w:r>
        <w:rPr>
          <w:rFonts w:ascii="sans-serif" w:hAnsi="sans-serif"/>
          <w:color w:val="000000"/>
          <w:sz w:val="22"/>
        </w:rPr>
        <w:t>means, with respect to you, the occurrence of any of the following events: (i) your theft, dishonesty, willful misconduct, breach of fiduciary duty for personal profit, or intentional falsification of any documents or records of the Company or one of its affiliates; (ii) your material failure to abide by the Company’s Code of Conduct or other policies (including, without limitation, policies relating to confidentiality and reasonable workplace conduct and policies of any affiliate of the Company, as applicable); (iii) your unauthorized use, misappropriation, destruction or diversion of any tangible or intangible asset or corporate opportunity of the Company or any of its affiliates (including, without limitation, your improper use or disclosure of confidential or proprietary information of the Company or any of its affiliates); (iv) any intentional act by you which has a material detrimental effect on the reputation or business of the Company or any of its affiliates; (v) your repeated failure or inability to perform any reasonable assigned duties after written notice from the Company (or any of its affiliates, as applicable) of, and a reasonable opportunity to cure, such failure or inability; (vi) any material breach by you of any employment or service agreement between you and the Company (or any of its affiliates, as applicable), which breach is not cured pursuant to the terms of such agreement; or (vii) your conviction (including any plea of guilty or nolo contendere) of any criminal act involving fraud, dishonesty, misappropriation or moral turpitude, or which impairs your ability to perform your duties with the Company (or any of its affiliates, as applicable). The determination that a termination of your employment is either for Cause or without Cause will be made by the Company’s Board of Directors.</w:t>
      </w:r>
      <w:r>
        <w:rPr>
          <w:rFonts w:ascii="Times New Roman" w:hAnsi="Times New Roman"/>
          <w:color w:val="000000"/>
          <w:sz w:val="20"/>
        </w:rPr>
        <w:t xml:space="preserve"> </w:t>
      </w:r>
    </w:p>
    <w:p>
      <w:pPr>
        <w:pStyle w:val="TextBody"/>
        <w:bidi w:val="0"/>
        <w:spacing w:before="120" w:after="283"/>
        <w:ind w:left="86" w:right="0" w:hanging="0"/>
        <w:jc w:val="both"/>
        <w:rPr/>
      </w:pPr>
      <w:r>
        <w:rPr>
          <w:color w:val="000000"/>
        </w:rPr>
        <w:t>“</w:t>
      </w:r>
      <w:r>
        <w:rPr>
          <w:rFonts w:ascii="sans-serif" w:hAnsi="sans-serif"/>
          <w:color w:val="000000"/>
          <w:sz w:val="22"/>
          <w:u w:val="single"/>
        </w:rPr>
        <w:t>Good Reason</w:t>
      </w:r>
      <w:r>
        <w:rPr>
          <w:rFonts w:ascii="Times New Roman" w:hAnsi="Times New Roman"/>
          <w:color w:val="000000"/>
          <w:sz w:val="20"/>
        </w:rPr>
        <w:t xml:space="preserve">” </w:t>
      </w:r>
      <w:r>
        <w:rPr>
          <w:rFonts w:ascii="sans-serif" w:hAnsi="sans-serif"/>
          <w:color w:val="000000"/>
          <w:sz w:val="22"/>
        </w:rPr>
        <w:t>means your voluntary resignation after complying with the Good Reason Process following the occurrence of any of the following events without your written consent: (i) a material reduction in your base salary, except for across-the-board salary reductions similarly affecting substantially all employees; or (ii) any material breach by the Company of any material written agreement between you and the Company.</w:t>
      </w:r>
    </w:p>
    <w:p>
      <w:pPr>
        <w:pStyle w:val="TextBody"/>
        <w:bidi w:val="0"/>
        <w:spacing w:before="120" w:after="283"/>
        <w:ind w:left="86" w:right="0" w:hanging="0"/>
        <w:jc w:val="both"/>
        <w:rPr/>
      </w:pPr>
      <w:r>
        <w:rPr>
          <w:color w:val="000000"/>
        </w:rPr>
        <w:t>“</w:t>
      </w:r>
      <w:r>
        <w:rPr>
          <w:rFonts w:ascii="sans-serif" w:hAnsi="sans-serif"/>
          <w:color w:val="000000"/>
          <w:sz w:val="22"/>
          <w:u w:val="single"/>
        </w:rPr>
        <w:t>Good Reason Process</w:t>
      </w:r>
      <w:r>
        <w:rPr>
          <w:rFonts w:ascii="Times New Roman" w:hAnsi="Times New Roman"/>
          <w:color w:val="000000"/>
          <w:sz w:val="20"/>
        </w:rPr>
        <w:t xml:space="preserve">” </w:t>
      </w:r>
      <w:r>
        <w:rPr>
          <w:rFonts w:ascii="sans-serif" w:hAnsi="sans-serif"/>
          <w:color w:val="000000"/>
          <w:sz w:val="22"/>
        </w:rPr>
        <w:t>means (i) you reasonably determine in good faith that a “Good Reason” condition has occurred; (ii) you notify the Company in writing of the occurrence of the Good Reason condition within 30 days of the occurrence of such condition; (iii) you cooperate in good faith with the Company’s efforts, for a period of 30 days following such notice (the “</w:t>
      </w:r>
      <w:r>
        <w:rPr>
          <w:rFonts w:ascii="sans-serif" w:hAnsi="sans-serif"/>
          <w:color w:val="000000"/>
          <w:sz w:val="22"/>
          <w:u w:val="single"/>
        </w:rPr>
        <w:t>Cure Period</w:t>
      </w:r>
      <w:r>
        <w:rPr>
          <w:rFonts w:ascii="Times New Roman" w:hAnsi="Times New Roman"/>
          <w:color w:val="000000"/>
          <w:sz w:val="20"/>
        </w:rPr>
        <w:t>”</w:t>
      </w:r>
      <w:r>
        <w:rPr>
          <w:rFonts w:ascii="sans-serif" w:hAnsi="sans-serif"/>
          <w:color w:val="000000"/>
          <w:sz w:val="22"/>
        </w:rPr>
        <w:t>), to remedy the condition; (iv) notwithstanding such efforts, the Good Reason condition continues to exist following the Cure Period; and (v) you terminate your employment and provide the Company with a written notice which shall indicate the specific termination provision herein relied upon for your resignation for Good Reason and the date of termination, each within 30 days after the end of the Cure Period.</w:t>
      </w:r>
    </w:p>
    <w:p>
      <w:pPr>
        <w:pStyle w:val="TextBody"/>
        <w:bidi w:val="0"/>
        <w:spacing w:before="120" w:after="283"/>
        <w:ind w:left="86" w:right="0" w:hanging="0"/>
        <w:jc w:val="both"/>
        <w:rPr/>
      </w:pPr>
      <w:r>
        <w:rPr/>
        <w:t> </w:t>
      </w:r>
    </w:p>
    <w:p>
      <w:pPr>
        <w:pStyle w:val="TextBody"/>
        <w:bidi w:val="0"/>
        <w:spacing w:before="120" w:after="283"/>
        <w:ind w:left="302" w:right="0" w:hanging="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HorizontalLine"/>
        <w:pBdr>
          <w:bottom w:val="double" w:sz="2" w:space="0" w:color="808080"/>
        </w:pBdr>
        <w:bidi w:val="0"/>
        <w:spacing w:before="0" w:after="283"/>
        <w:jc w:val="left"/>
        <w:rPr/>
      </w:pPr>
      <w:r>
        <w:rPr/>
      </w:r>
    </w:p>
    <w:p>
      <w:pPr>
        <w:pStyle w:val="TextBody"/>
        <w:bidi w:val="0"/>
        <w:jc w:val="right"/>
        <w:rPr/>
      </w:pPr>
      <w:bookmarkStart w:id="23" w:name="ck0001774857-ex10_2.htm"/>
      <w:bookmarkStart w:id="24" w:name="ksck0001774857ex10_2"/>
      <w:bookmarkEnd w:id="23"/>
      <w:bookmarkEnd w:id="24"/>
      <w:r>
        <w:rPr/>
        <w:drawing>
          <wp:inline distT="0" distB="0" distL="0" distR="0">
            <wp:extent cx="186690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1866900" cy="400050"/>
                    </a:xfrm>
                    <a:prstGeom prst="rect">
                      <a:avLst/>
                    </a:prstGeom>
                  </pic:spPr>
                </pic:pic>
              </a:graphicData>
            </a:graphic>
          </wp:inline>
        </w:drawing>
      </w:r>
      <w:r>
        <w:rPr>
          <w:rFonts w:ascii="sans-serif" w:hAnsi="sans-serif"/>
          <w:b/>
          <w:color w:val="000000"/>
          <w:sz w:val="22"/>
        </w:rPr>
        <w:t>Exhibit 10.2</w:t>
      </w:r>
      <w:r>
        <w:br w:type="page"/>
      </w:r>
    </w:p>
    <w:p>
      <w:pPr>
        <w:pStyle w:val="TextBody"/>
        <w:bidi w:val="0"/>
        <w:jc w:val="left"/>
        <w:rPr/>
      </w:pPr>
      <w:r>
        <w:rPr/>
        <w:t> </w:t>
      </w:r>
    </w:p>
    <w:p>
      <w:pPr>
        <w:pStyle w:val="TextBody"/>
        <w:bidi w:val="0"/>
        <w:jc w:val="left"/>
        <w:rPr/>
      </w:pPr>
      <w:r>
        <w:rPr/>
        <w:t> </w:t>
      </w:r>
    </w:p>
    <w:p>
      <w:pPr>
        <w:pStyle w:val="TextBody"/>
        <w:bidi w:val="0"/>
        <w:ind w:left="0" w:right="5650" w:hanging="0"/>
        <w:jc w:val="left"/>
        <w:rPr>
          <w:rFonts w:ascii="sans-serif" w:hAnsi="sans-serif"/>
          <w:color w:val="000000"/>
          <w:sz w:val="22"/>
        </w:rPr>
      </w:pPr>
      <w:r>
        <w:rPr>
          <w:rFonts w:ascii="sans-serif" w:hAnsi="sans-serif"/>
          <w:color w:val="000000"/>
          <w:sz w:val="22"/>
        </w:rPr>
        <w:t>June 10, 2026</w:t>
      </w:r>
    </w:p>
    <w:p>
      <w:pPr>
        <w:pStyle w:val="TextBody"/>
        <w:bidi w:val="0"/>
        <w:jc w:val="left"/>
        <w:rPr/>
      </w:pPr>
      <w:r>
        <w:rPr/>
        <w:t> </w:t>
      </w:r>
    </w:p>
    <w:p>
      <w:pPr>
        <w:pStyle w:val="TextBody"/>
        <w:bidi w:val="0"/>
        <w:ind w:left="0" w:right="5650" w:hanging="0"/>
        <w:jc w:val="left"/>
        <w:rPr>
          <w:rFonts w:ascii="sans-serif" w:hAnsi="sans-serif"/>
          <w:color w:val="000000"/>
          <w:sz w:val="22"/>
        </w:rPr>
      </w:pPr>
      <w:r>
        <w:rPr>
          <w:rFonts w:ascii="sans-serif" w:hAnsi="sans-serif"/>
          <w:color w:val="000000"/>
          <w:sz w:val="22"/>
        </w:rPr>
        <w:t>Manasi Jaiman, M.D., M.P.H.</w:t>
      </w:r>
    </w:p>
    <w:p>
      <w:pPr>
        <w:pStyle w:val="TextBody"/>
        <w:bidi w:val="0"/>
        <w:ind w:left="0" w:right="3400" w:hanging="0"/>
        <w:jc w:val="left"/>
        <w:rPr>
          <w:rFonts w:ascii="sans-serif" w:hAnsi="sans-serif"/>
          <w:color w:val="000000"/>
          <w:sz w:val="22"/>
        </w:rPr>
      </w:pPr>
      <w:r>
        <w:rPr>
          <w:rFonts w:ascii="sans-serif" w:hAnsi="sans-serif"/>
          <w:color w:val="000000"/>
          <w:sz w:val="22"/>
        </w:rPr>
        <w:t>Via email to [***]</w:t>
      </w:r>
    </w:p>
    <w:p>
      <w:pPr>
        <w:pStyle w:val="TextBody"/>
        <w:bidi w:val="0"/>
        <w:spacing w:before="9" w:after="283"/>
        <w:jc w:val="left"/>
        <w:rPr>
          <w:rFonts w:ascii="sans-serif" w:hAnsi="sans-serif"/>
          <w:color w:val="000000"/>
          <w:sz w:val="22"/>
        </w:rPr>
      </w:pPr>
      <w:r>
        <w:rPr>
          <w:rFonts w:ascii="sans-serif" w:hAnsi="sans-serif"/>
          <w:color w:val="000000"/>
          <w:sz w:val="22"/>
        </w:rPr>
        <w:t>Re: Retention Bonus</w:t>
      </w:r>
    </w:p>
    <w:p>
      <w:pPr>
        <w:pStyle w:val="TextBody"/>
        <w:bidi w:val="0"/>
        <w:spacing w:before="9" w:after="283"/>
        <w:jc w:val="left"/>
        <w:rPr/>
      </w:pPr>
      <w:r>
        <w:rPr/>
        <w:t> </w:t>
      </w:r>
    </w:p>
    <w:p>
      <w:pPr>
        <w:pStyle w:val="TextBody"/>
        <w:bidi w:val="0"/>
        <w:spacing w:before="1" w:after="283"/>
        <w:jc w:val="left"/>
        <w:rPr>
          <w:rFonts w:ascii="sans-serif" w:hAnsi="sans-serif"/>
          <w:color w:val="000000"/>
          <w:sz w:val="22"/>
        </w:rPr>
      </w:pPr>
      <w:r>
        <w:rPr>
          <w:rFonts w:ascii="sans-serif" w:hAnsi="sans-serif"/>
          <w:color w:val="000000"/>
          <w:sz w:val="22"/>
        </w:rPr>
        <w:t>Dear Manasi:</w:t>
      </w:r>
    </w:p>
    <w:p>
      <w:pPr>
        <w:pStyle w:val="TextBody"/>
        <w:bidi w:val="0"/>
        <w:spacing w:before="9" w:after="283"/>
        <w:ind w:left="360" w:right="0" w:hanging="0"/>
        <w:jc w:val="left"/>
        <w:rPr/>
      </w:pPr>
      <w:r>
        <w:rPr/>
        <w:t> </w:t>
      </w:r>
    </w:p>
    <w:p>
      <w:pPr>
        <w:pStyle w:val="TextBody"/>
        <w:bidi w:val="0"/>
        <w:spacing w:before="95" w:after="283"/>
        <w:ind w:left="0" w:right="94" w:hanging="0"/>
        <w:jc w:val="both"/>
        <w:rPr>
          <w:rFonts w:ascii="Times New Roman" w:hAnsi="Times New Roman"/>
          <w:sz w:val="20"/>
        </w:rPr>
      </w:pPr>
      <w:r>
        <w:rPr>
          <w:rFonts w:ascii="sans-serif" w:hAnsi="sans-serif"/>
          <w:color w:val="000000"/>
          <w:sz w:val="22"/>
        </w:rPr>
        <w:t>Aardvark Therapeutics, Inc. (the “</w:t>
      </w:r>
      <w:r>
        <w:rPr>
          <w:rFonts w:ascii="sans-serif" w:hAnsi="sans-serif"/>
          <w:color w:val="000000"/>
          <w:sz w:val="22"/>
          <w:u w:val="single"/>
        </w:rPr>
        <w:t>Company</w:t>
      </w:r>
      <w:r>
        <w:rPr>
          <w:rFonts w:ascii="Times New Roman" w:hAnsi="Times New Roman"/>
          <w:color w:val="000000"/>
          <w:sz w:val="20"/>
        </w:rPr>
        <w:t>”</w:t>
      </w:r>
      <w:r>
        <w:rPr>
          <w:rFonts w:ascii="sans-serif" w:hAnsi="sans-serif"/>
          <w:color w:val="000000"/>
          <w:sz w:val="22"/>
        </w:rPr>
        <w:t>) is pleased to offer you the opportunity to receive a cash retention bonus in the aggregate amount of $357,000 (the “</w:t>
      </w:r>
      <w:r>
        <w:rPr>
          <w:rFonts w:ascii="sans-serif" w:hAnsi="sans-serif"/>
          <w:color w:val="000000"/>
          <w:sz w:val="22"/>
          <w:u w:val="single"/>
        </w:rPr>
        <w:t>Retention Bonus</w:t>
      </w:r>
      <w:r>
        <w:rPr>
          <w:rFonts w:ascii="Times New Roman" w:hAnsi="Times New Roman"/>
          <w:color w:val="000000"/>
          <w:sz w:val="20"/>
        </w:rPr>
        <w:t>”</w:t>
      </w:r>
      <w:r>
        <w:rPr>
          <w:rFonts w:ascii="sans-serif" w:hAnsi="sans-serif"/>
          <w:color w:val="000000"/>
          <w:sz w:val="22"/>
        </w:rPr>
        <w:t>), on the following terms and conditions.</w:t>
      </w:r>
    </w:p>
    <w:p>
      <w:pPr>
        <w:pStyle w:val="TextBody"/>
        <w:pBdr/>
        <w:bidi w:val="0"/>
        <w:ind w:left="0" w:right="85" w:hanging="678"/>
        <w:jc w:val="both"/>
        <w:rPr/>
      </w:pPr>
      <w:r>
        <w:rPr/>
        <w:t> </w:t>
      </w:r>
    </w:p>
    <w:p>
      <w:pPr>
        <w:pStyle w:val="TextBody"/>
        <w:bidi w:val="0"/>
        <w:ind w:left="0" w:right="86" w:hanging="0"/>
        <w:jc w:val="both"/>
        <w:rPr>
          <w:rFonts w:ascii="Times New Roman" w:hAnsi="Times New Roman"/>
          <w:sz w:val="20"/>
        </w:rPr>
      </w:pPr>
      <w:r>
        <w:rPr>
          <w:rFonts w:ascii="sans-serif" w:hAnsi="sans-serif"/>
          <w:color w:val="000000"/>
          <w:sz w:val="22"/>
        </w:rPr>
        <w:t>The Retention Bonus consists of two components: (i) the first component of the Retention Bonus ($204,000) is a guarantee of your 2026 annual bonus (the “</w:t>
      </w:r>
      <w:r>
        <w:rPr>
          <w:rFonts w:ascii="sans-serif" w:hAnsi="sans-serif"/>
          <w:color w:val="000000"/>
          <w:sz w:val="22"/>
          <w:u w:val="single"/>
        </w:rPr>
        <w:t>Guaranteed Bonus Portion</w:t>
      </w:r>
      <w:r>
        <w:rPr>
          <w:rFonts w:ascii="Times New Roman" w:hAnsi="Times New Roman"/>
          <w:color w:val="000000"/>
          <w:sz w:val="20"/>
        </w:rPr>
        <w:t>”</w:t>
      </w:r>
      <w:r>
        <w:rPr>
          <w:rFonts w:ascii="sans-serif" w:hAnsi="sans-serif"/>
          <w:color w:val="000000"/>
          <w:sz w:val="22"/>
        </w:rPr>
        <w:t>), and (ii) the remaining component ($153,000) is intended solely as a retention bonus for your continued service through the Retention Date (as defined below). Your 2026 annual bonus, if any, based on the achievement of applicable goals, will be reduced (but not below zero) by the Guaranteed Bonus Portion.</w:t>
      </w:r>
      <w:r>
        <w:rPr>
          <w:rFonts w:ascii="Times New Roman" w:hAnsi="Times New Roman"/>
          <w:color w:val="000000"/>
          <w:sz w:val="20"/>
        </w:rPr>
        <w:t xml:space="preserve"> </w:t>
      </w:r>
    </w:p>
    <w:p>
      <w:pPr>
        <w:pStyle w:val="TextBody"/>
        <w:bidi w:val="0"/>
        <w:ind w:left="0" w:right="86" w:hanging="0"/>
        <w:jc w:val="left"/>
        <w:rPr/>
      </w:pPr>
      <w:r>
        <w:rPr/>
        <w:t> </w:t>
      </w:r>
    </w:p>
    <w:p>
      <w:pPr>
        <w:pStyle w:val="TextBody"/>
        <w:bidi w:val="0"/>
        <w:ind w:left="0" w:right="86" w:hanging="0"/>
        <w:jc w:val="both"/>
        <w:rPr>
          <w:rFonts w:ascii="Times New Roman" w:hAnsi="Times New Roman"/>
          <w:sz w:val="20"/>
        </w:rPr>
      </w:pPr>
      <w:r>
        <w:rPr>
          <w:rFonts w:ascii="sans-serif" w:hAnsi="sans-serif"/>
          <w:color w:val="000000"/>
          <w:sz w:val="22"/>
        </w:rPr>
        <w:t>The Company will pay you the Retention Bonus on January 1, 2027 (the “</w:t>
      </w:r>
      <w:r>
        <w:rPr>
          <w:rFonts w:ascii="sans-serif" w:hAnsi="sans-serif"/>
          <w:color w:val="000000"/>
          <w:sz w:val="22"/>
          <w:u w:val="single"/>
        </w:rPr>
        <w:t>Retention Date</w:t>
      </w:r>
      <w:r>
        <w:rPr>
          <w:rFonts w:ascii="Times New Roman" w:hAnsi="Times New Roman"/>
          <w:color w:val="000000"/>
          <w:sz w:val="20"/>
        </w:rPr>
        <w:t>”</w:t>
      </w:r>
      <w:r>
        <w:rPr>
          <w:rFonts w:ascii="sans-serif" w:hAnsi="sans-serif"/>
          <w:color w:val="000000"/>
          <w:sz w:val="22"/>
        </w:rPr>
        <w:t xml:space="preserve">), subject to your continued employment with the Company through such date. However, if prior to the Retention Date, the Company terminates your employment without Cause (as defined in </w:t>
      </w:r>
      <w:r>
        <w:rPr>
          <w:rFonts w:ascii="sans-serif" w:hAnsi="sans-serif"/>
          <w:color w:val="000000"/>
          <w:sz w:val="22"/>
          <w:u w:val="single"/>
        </w:rPr>
        <w:t>Exhibit A</w:t>
      </w:r>
      <w:r>
        <w:rPr>
          <w:rFonts w:ascii="sans-serif" w:hAnsi="sans-serif"/>
          <w:color w:val="000000"/>
          <w:sz w:val="22"/>
        </w:rPr>
        <w:t xml:space="preserve">) or you resign for Good Reason (as defined in </w:t>
      </w:r>
      <w:r>
        <w:rPr>
          <w:rFonts w:ascii="sans-serif" w:hAnsi="sans-serif"/>
          <w:color w:val="000000"/>
          <w:sz w:val="22"/>
          <w:u w:val="single"/>
        </w:rPr>
        <w:t>Exhibit A</w:t>
      </w:r>
      <w:r>
        <w:rPr>
          <w:rFonts w:ascii="sans-serif" w:hAnsi="sans-serif"/>
          <w:color w:val="000000"/>
          <w:sz w:val="22"/>
        </w:rPr>
        <w:t>), subject to your execution and delivery to the Company of a full and complete release of any and all claims in a form prescribed by the Company that you execute and deliver to the Company (and that becomes effective and irrevocable within sixty (60) days after your termination of employment), the Company will pay you the Retention Bonus on the date occurring sixty (60) days following your termination of employment with the Company.</w:t>
      </w:r>
      <w:r>
        <w:rPr>
          <w:rFonts w:ascii="Times New Roman" w:hAnsi="Times New Roman"/>
          <w:color w:val="000000"/>
          <w:sz w:val="20"/>
        </w:rPr>
        <w:t xml:space="preserve"> </w:t>
      </w:r>
    </w:p>
    <w:p>
      <w:pPr>
        <w:pStyle w:val="TextBody"/>
        <w:bidi w:val="0"/>
        <w:ind w:left="0" w:right="86" w:hanging="0"/>
        <w:jc w:val="both"/>
        <w:rPr/>
      </w:pPr>
      <w:r>
        <w:rPr/>
        <w:t> </w:t>
      </w:r>
    </w:p>
    <w:p>
      <w:pPr>
        <w:pStyle w:val="TextBody"/>
        <w:bidi w:val="0"/>
        <w:ind w:left="0" w:right="86" w:hanging="0"/>
        <w:jc w:val="both"/>
        <w:rPr>
          <w:rFonts w:ascii="Times New Roman" w:hAnsi="Times New Roman"/>
          <w:sz w:val="20"/>
        </w:rPr>
      </w:pPr>
      <w:r>
        <w:rPr>
          <w:rFonts w:ascii="sans-serif" w:hAnsi="sans-serif"/>
          <w:color w:val="000000"/>
          <w:sz w:val="22"/>
        </w:rPr>
        <w:t>All payments hereunder are subject to reduction to reflect applicable withholding and payroll taxes and other deductions required by law.</w:t>
      </w:r>
      <w:r>
        <w:rPr>
          <w:rFonts w:ascii="Times New Roman" w:hAnsi="Times New Roman"/>
          <w:color w:val="000000"/>
          <w:sz w:val="20"/>
        </w:rPr>
        <w:t xml:space="preserve"> </w:t>
      </w:r>
    </w:p>
    <w:p>
      <w:pPr>
        <w:pStyle w:val="TextBody"/>
        <w:bidi w:val="0"/>
        <w:spacing w:before="8" w:after="283"/>
        <w:ind w:left="360" w:right="85" w:hanging="0"/>
        <w:jc w:val="both"/>
        <w:rPr/>
      </w:pPr>
      <w:r>
        <w:rPr/>
        <w:t> </w:t>
      </w:r>
    </w:p>
    <w:p>
      <w:pPr>
        <w:pStyle w:val="TextBody"/>
        <w:bidi w:val="0"/>
        <w:ind w:left="0" w:right="85" w:hanging="0"/>
        <w:jc w:val="both"/>
        <w:rPr>
          <w:rFonts w:ascii="sans-serif" w:hAnsi="sans-serif"/>
          <w:color w:val="000000"/>
          <w:sz w:val="22"/>
        </w:rPr>
      </w:pPr>
      <w:r>
        <w:rPr>
          <w:rFonts w:ascii="sans-serif" w:hAnsi="sans-serif"/>
          <w:color w:val="000000"/>
          <w:sz w:val="22"/>
        </w:rPr>
        <w:t>Nothing in this letter will confer upon you any right to continued employment with the Company (or its affiliates or their respective successors) or interfere in any way with the right of the Company (or its affiliates or their respective successors) to terminate your employment at any time, without notice, and for any or no reason. The Retention Bonus is discretionary in nature and does not create any contractual or other right to future similar payments. The Retention Bonus is also intended to be a short-term deferral for purposes of Section 409A of the Internal Revenue Code of 1986, as amended, and this letter shall be interpreted consistent with that intent.</w:t>
      </w:r>
    </w:p>
    <w:p>
      <w:pPr>
        <w:pStyle w:val="TextBody"/>
        <w:bidi w:val="0"/>
        <w:ind w:left="0" w:right="85" w:hanging="0"/>
        <w:jc w:val="both"/>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669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1866900" cy="400050"/>
                    </a:xfrm>
                    <a:prstGeom prst="rect">
                      <a:avLst/>
                    </a:prstGeom>
                  </pic:spPr>
                </pic:pic>
              </a:graphicData>
            </a:graphic>
          </wp:inline>
        </w:drawing>
      </w:r>
    </w:p>
    <w:p>
      <w:pPr>
        <w:pStyle w:val="TextBody"/>
        <w:bidi w:val="0"/>
        <w:jc w:val="left"/>
        <w:rPr/>
      </w:pPr>
      <w:r>
        <w:rPr/>
        <w:t> </w:t>
      </w:r>
    </w:p>
    <w:p>
      <w:pPr>
        <w:pStyle w:val="TextBody"/>
        <w:bidi w:val="0"/>
        <w:ind w:left="0" w:right="85" w:hanging="0"/>
        <w:jc w:val="both"/>
        <w:rPr>
          <w:rFonts w:ascii="sans-serif" w:hAnsi="sans-serif"/>
          <w:color w:val="000000"/>
          <w:sz w:val="22"/>
        </w:rPr>
      </w:pPr>
      <w:r>
        <w:rPr>
          <w:rFonts w:ascii="sans-serif" w:hAnsi="sans-serif"/>
          <w:color w:val="000000"/>
          <w:sz w:val="22"/>
        </w:rPr>
        <w:t>This letter will be construed and enforced in accordance with the laws of the State of California, without giving effect to its conflicts of law. This letter constitutes the entire agreement between you and the Company with respect to the Retention Bonus, and supersedes any prior understandings or agreements, whether oral or written, between you and the Company regarding the Retention Bonus.</w:t>
      </w:r>
    </w:p>
    <w:p>
      <w:pPr>
        <w:pStyle w:val="TextBody"/>
        <w:bidi w:val="0"/>
        <w:spacing w:before="180" w:after="283"/>
        <w:jc w:val="left"/>
        <w:rPr>
          <w:rFonts w:ascii="sans-serif" w:hAnsi="sans-serif"/>
          <w:color w:val="000000"/>
          <w:sz w:val="22"/>
        </w:rPr>
      </w:pPr>
      <w:r>
        <w:rPr>
          <w:rFonts w:ascii="sans-serif" w:hAnsi="sans-serif"/>
          <w:color w:val="000000"/>
          <w:sz w:val="22"/>
        </w:rPr>
        <w:t>Sincerely,</w:t>
      </w:r>
    </w:p>
    <w:p>
      <w:pPr>
        <w:pStyle w:val="TextBody"/>
        <w:bidi w:val="0"/>
        <w:spacing w:before="180" w:after="283"/>
        <w:jc w:val="left"/>
        <w:rPr>
          <w:rFonts w:ascii="sans-serif" w:hAnsi="sans-serif"/>
          <w:b/>
          <w:color w:val="000000"/>
          <w:sz w:val="22"/>
        </w:rPr>
      </w:pPr>
      <w:r>
        <w:rPr>
          <w:rFonts w:ascii="sans-serif" w:hAnsi="sans-serif"/>
          <w:b/>
          <w:color w:val="000000"/>
          <w:sz w:val="22"/>
        </w:rPr>
        <w:t>Aardvark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/s/ Tien-Li Lee</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Tien-Li Lee, M.D.</w:t>
      </w:r>
    </w:p>
    <w:p>
      <w:pPr>
        <w:pStyle w:val="TextBody"/>
        <w:bidi w:val="0"/>
        <w:jc w:val="left"/>
        <w:rPr>
          <w:rFonts w:ascii="sans-serif" w:hAnsi="sans-serif"/>
          <w:color w:val="000000"/>
          <w:sz w:val="22"/>
        </w:rPr>
      </w:pPr>
      <w:r>
        <w:rPr>
          <w:rFonts w:ascii="sans-serif" w:hAnsi="sans-serif"/>
          <w:color w:val="000000"/>
          <w:sz w:val="22"/>
        </w:rPr>
        <w:t>Chief Executive Officer</w:t>
      </w:r>
    </w:p>
    <w:p>
      <w:pPr>
        <w:pStyle w:val="TextBody"/>
        <w:bidi w:val="0"/>
        <w:jc w:val="left"/>
        <w:rPr/>
      </w:pPr>
      <w:r>
        <w:rPr/>
        <w:t> </w:t>
      </w:r>
    </w:p>
    <w:p>
      <w:pPr>
        <w:pStyle w:val="TextBody"/>
        <w:bidi w:val="0"/>
        <w:jc w:val="left"/>
        <w:rPr>
          <w:rFonts w:ascii="sans-serif" w:hAnsi="sans-serif"/>
          <w:b/>
          <w:i/>
          <w:color w:val="000000"/>
          <w:sz w:val="22"/>
        </w:rPr>
      </w:pPr>
      <w:r>
        <w:rPr>
          <w:rFonts w:ascii="sans-serif" w:hAnsi="sans-serif"/>
          <w:b/>
          <w:i/>
          <w:color w:val="000000"/>
          <w:sz w:val="22"/>
        </w:rPr>
        <w:t>Accepted: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/s/ Manasi Jaiman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Manasi Jaiman, M.D., M.P.H.</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u w:val="single"/>
        </w:rPr>
        <w:t>6/10/2026</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669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1866900" cy="400050"/>
                    </a:xfrm>
                    <a:prstGeom prst="rect">
                      <a:avLst/>
                    </a:prstGeom>
                  </pic:spPr>
                </pic:pic>
              </a:graphicData>
            </a:graphic>
          </wp:inline>
        </w:drawing>
      </w:r>
    </w:p>
    <w:p>
      <w:pPr>
        <w:pStyle w:val="TextBody"/>
        <w:bidi w:val="0"/>
        <w:jc w:val="left"/>
        <w:rPr/>
      </w:pPr>
      <w:r>
        <w:rPr/>
        <w:t> </w:t>
      </w:r>
    </w:p>
    <w:p>
      <w:pPr>
        <w:pStyle w:val="TextBody"/>
        <w:bidi w:val="0"/>
        <w:spacing w:before="120" w:after="283"/>
        <w:jc w:val="center"/>
        <w:rPr>
          <w:rFonts w:ascii="sans-serif" w:hAnsi="sans-serif"/>
          <w:b/>
          <w:color w:val="000000"/>
          <w:sz w:val="22"/>
          <w:u w:val="single"/>
        </w:rPr>
      </w:pPr>
      <w:r>
        <w:rPr>
          <w:rFonts w:ascii="sans-serif" w:hAnsi="sans-serif"/>
          <w:b/>
          <w:color w:val="000000"/>
          <w:sz w:val="22"/>
          <w:u w:val="single"/>
        </w:rPr>
        <w:t>Exhibit A</w:t>
      </w:r>
    </w:p>
    <w:p>
      <w:pPr>
        <w:pStyle w:val="TextBody"/>
        <w:bidi w:val="0"/>
        <w:spacing w:before="120" w:after="283"/>
        <w:ind w:left="302" w:right="0" w:hanging="0"/>
        <w:jc w:val="left"/>
        <w:rPr/>
      </w:pPr>
      <w:r>
        <w:rPr/>
        <w:t> </w:t>
      </w:r>
    </w:p>
    <w:p>
      <w:pPr>
        <w:pStyle w:val="TextBody"/>
        <w:bidi w:val="0"/>
        <w:spacing w:before="120" w:after="283"/>
        <w:ind w:left="86" w:right="0" w:hanging="0"/>
        <w:jc w:val="both"/>
        <w:rPr/>
      </w:pPr>
      <w:r>
        <w:rPr>
          <w:color w:val="000000"/>
        </w:rPr>
        <w:t>“</w:t>
      </w:r>
      <w:r>
        <w:rPr>
          <w:rFonts w:ascii="sans-serif" w:hAnsi="sans-serif"/>
          <w:color w:val="000000"/>
          <w:sz w:val="22"/>
          <w:u w:val="single"/>
        </w:rPr>
        <w:t>Cause</w:t>
      </w:r>
      <w:r>
        <w:rPr>
          <w:rFonts w:ascii="Times New Roman" w:hAnsi="Times New Roman"/>
          <w:color w:val="000000"/>
          <w:sz w:val="20"/>
        </w:rPr>
        <w:t xml:space="preserve">” </w:t>
      </w:r>
      <w:r>
        <w:rPr>
          <w:rFonts w:ascii="sans-serif" w:hAnsi="sans-serif"/>
          <w:color w:val="000000"/>
          <w:sz w:val="22"/>
        </w:rPr>
        <w:t>means, with respect to you, the occurrence of any of the following events: (i) your theft, dishonesty, willful misconduct, breach of fiduciary duty for personal profit, or intentional falsification of any documents or records of the Company or one of its affiliates; (ii) your material failure to abide by the Company’s Code of Conduct or other policies (including, without limitation, policies relating to confidentiality and reasonable workplace conduct and policies of any affiliate of the Company, as applicable); (iii) your unauthorized use, misappropriation, destruction or diversion of any tangible or intangible asset or corporate opportunity of the Company or any of its affiliates (including, without limitation, your improper use or disclosure of confidential or proprietary information of the Company or any of its affiliates); (iv) any intentional act by you which has a material detrimental effect on the reputation or business of the Company or any of its affiliates; (v) your repeated failure or inability to perform any reasonable assigned duties after written notice from the Company (or any of its affiliates, as applicable) of, and a reasonable opportunity to cure, such failure or inability; (vi) any material breach by you of any employment or service agreement between you and the Company (or any of its affiliates, as applicable), which breach is not cured pursuant to the terms of such agreement; or (vii) your conviction (including any plea of guilty or nolo contendere) of any criminal act involving fraud, dishonesty, misappropriation or moral turpitude, or which impairs your ability to perform your duties with the Company (or any of its affiliates, as applicable). The determination that a termination of your employment is either for Cause or without Cause will be made by the Company’s Board of Directors.</w:t>
      </w:r>
      <w:r>
        <w:rPr>
          <w:rFonts w:ascii="Times New Roman" w:hAnsi="Times New Roman"/>
          <w:color w:val="000000"/>
          <w:sz w:val="20"/>
        </w:rPr>
        <w:t xml:space="preserve"> </w:t>
      </w:r>
    </w:p>
    <w:p>
      <w:pPr>
        <w:pStyle w:val="TextBody"/>
        <w:bidi w:val="0"/>
        <w:spacing w:before="120" w:after="283"/>
        <w:ind w:left="86" w:right="0" w:hanging="0"/>
        <w:jc w:val="both"/>
        <w:rPr/>
      </w:pPr>
      <w:r>
        <w:rPr>
          <w:color w:val="000000"/>
        </w:rPr>
        <w:t>“</w:t>
      </w:r>
      <w:r>
        <w:rPr>
          <w:rFonts w:ascii="sans-serif" w:hAnsi="sans-serif"/>
          <w:color w:val="000000"/>
          <w:sz w:val="22"/>
          <w:u w:val="single"/>
        </w:rPr>
        <w:t>Good Reason</w:t>
      </w:r>
      <w:r>
        <w:rPr>
          <w:rFonts w:ascii="Times New Roman" w:hAnsi="Times New Roman"/>
          <w:color w:val="000000"/>
          <w:sz w:val="20"/>
        </w:rPr>
        <w:t xml:space="preserve">” </w:t>
      </w:r>
      <w:r>
        <w:rPr>
          <w:rFonts w:ascii="sans-serif" w:hAnsi="sans-serif"/>
          <w:color w:val="000000"/>
          <w:sz w:val="22"/>
        </w:rPr>
        <w:t>means your voluntary resignation after complying with the Good Reason Process following the occurrence of any of the following events without your written consent: (i) a material reduction in your base salary, except for across-the-board salary reductions similarly affecting substantially all employees; or (ii) any material breach by the Company of any material written agreement between you and the Company.</w:t>
      </w:r>
    </w:p>
    <w:p>
      <w:pPr>
        <w:pStyle w:val="TextBody"/>
        <w:bidi w:val="0"/>
        <w:spacing w:before="120" w:after="283"/>
        <w:ind w:left="86" w:right="0" w:hanging="0"/>
        <w:jc w:val="both"/>
        <w:rPr/>
      </w:pPr>
      <w:r>
        <w:rPr>
          <w:color w:val="000000"/>
        </w:rPr>
        <w:t>“</w:t>
      </w:r>
      <w:r>
        <w:rPr>
          <w:rFonts w:ascii="sans-serif" w:hAnsi="sans-serif"/>
          <w:color w:val="000000"/>
          <w:sz w:val="22"/>
          <w:u w:val="single"/>
        </w:rPr>
        <w:t>Good Reason Process</w:t>
      </w:r>
      <w:r>
        <w:rPr>
          <w:rFonts w:ascii="Times New Roman" w:hAnsi="Times New Roman"/>
          <w:color w:val="000000"/>
          <w:sz w:val="20"/>
        </w:rPr>
        <w:t xml:space="preserve">” </w:t>
      </w:r>
      <w:r>
        <w:rPr>
          <w:rFonts w:ascii="sans-serif" w:hAnsi="sans-serif"/>
          <w:color w:val="000000"/>
          <w:sz w:val="22"/>
        </w:rPr>
        <w:t>means (i) you reasonably determine in good faith that a “Good Reason” condition has occurred; (ii) you notify the Company in writing of the occurrence of the Good Reason condition within 30 days of the occurrence of such condition; (iii) you cooperate in good faith with the Company’s efforts, for a period of 30 days following such notice (the “</w:t>
      </w:r>
      <w:r>
        <w:rPr>
          <w:rFonts w:ascii="sans-serif" w:hAnsi="sans-serif"/>
          <w:color w:val="000000"/>
          <w:sz w:val="22"/>
          <w:u w:val="single"/>
        </w:rPr>
        <w:t>Cure Period</w:t>
      </w:r>
      <w:r>
        <w:rPr>
          <w:rFonts w:ascii="Times New Roman" w:hAnsi="Times New Roman"/>
          <w:color w:val="000000"/>
          <w:sz w:val="20"/>
        </w:rPr>
        <w:t>”</w:t>
      </w:r>
      <w:r>
        <w:rPr>
          <w:rFonts w:ascii="sans-serif" w:hAnsi="sans-serif"/>
          <w:color w:val="000000"/>
          <w:sz w:val="22"/>
        </w:rPr>
        <w:t>), to remedy the condition; (iv) notwithstanding such efforts, the Good Reason condition continues to exist following the Cure Period; and (v) you terminate your employment and provide the Company with a written notice which shall indicate the specific termination provision herein relied upon for your resignation for Good Reason and the date of termination, each within 30 days after the end of the Cure Period.</w:t>
      </w:r>
    </w:p>
    <w:p>
      <w:pPr>
        <w:pStyle w:val="TextBody"/>
        <w:bidi w:val="0"/>
        <w:spacing w:before="120" w:after="283"/>
        <w:ind w:left="86" w:right="0" w:hanging="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42596C"/>
          <w:sz w:val="18"/>
        </w:rPr>
        <w:t xml:space="preserve">4370 La Jolla Village Drive, Suite 1050  San Diego, CA 92122  Phone: (858) 225-7696 </w:t>
      </w:r>
      <w:r>
        <w:rPr>
          <w:rFonts w:ascii="Times New Roman" w:hAnsi="Times New Roman"/>
          <w:sz w:val="18"/>
        </w:rPr>
        <w:t>www.aardvarktherapeutics.com</w:t>
      </w:r>
    </w:p>
    <w:p>
      <w:pPr>
        <w:pStyle w:val="TextBody"/>
        <w:bidi w:val="0"/>
        <w:jc w:val="center"/>
        <w:rPr/>
      </w:pPr>
      <w:r>
        <w:rPr/>
        <w:t> </w:t>
      </w:r>
    </w:p>
    <w:p>
      <w:pPr>
        <w:pStyle w:val="TextBody"/>
        <w:bidi w:val="0"/>
        <w:jc w:val="center"/>
        <w:rPr>
          <w:rFonts w:ascii="Times New Roman" w:hAnsi="Times New Roman"/>
          <w:color w:val="42596C"/>
          <w:sz w:val="18"/>
        </w:rPr>
      </w:pPr>
      <w:r>
        <w:rPr>
          <w:rFonts w:ascii="Times New Roman" w:hAnsi="Times New Roman"/>
          <w:color w:val="42596C"/>
          <w:sz w:val="18"/>
        </w:rPr>
        <w:t>Aardvark Confidential and Proprietary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k0001774857-ex31_1.htm"/>
      <w:bookmarkStart w:id="26" w:name="ksck0001774857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Tien-Li Lee,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Aardvark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k0001774857-ex31_2.htm"/>
      <w:bookmarkStart w:id="28" w:name="ksck0001774857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Nelson Sun,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Aardvark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k0001774857-ex32_1.htm"/>
      <w:bookmarkStart w:id="30" w:name="ksck0001774857ex32_1"/>
      <w:bookmarkEnd w:id="29"/>
      <w:bookmarkEnd w:id="3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on Form 10-Q of Aardvark Therapeutics, Inc. (the “Company”) for the quarter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Tien-Li Lee,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k0001774857-ex32_2.htm"/>
      <w:bookmarkStart w:id="32" w:name="ksck0001774857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on Form 10-Q of Aardvark Therapeutics, Inc. (the “Company”) for the quarter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5032" w:type="dxa"/>
        <w:jc w:val="left"/>
        <w:tblInd w:w="0" w:type="dxa"/>
        <w:tblLayout w:type="fixed"/>
        <w:tblCellMar>
          <w:top w:w="28" w:type="dxa"/>
          <w:left w:w="28" w:type="dxa"/>
          <w:bottom w:w="28" w:type="dxa"/>
          <w:right w:w="28" w:type="dxa"/>
        </w:tblCellMar>
      </w:tblPr>
      <w:tblGrid>
        <w:gridCol w:w="1951"/>
        <w:gridCol w:w="109"/>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Nelson Sun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4857/000119312525027245/d890894dex31.htm" TargetMode="External"/><Relationship Id="rId3" Type="http://schemas.openxmlformats.org/officeDocument/2006/relationships/hyperlink" Target="https://www.sec.gov/Archives/edgar/data/1774857/000119312525021764/d882459dex34.htm" TargetMode="External"/><Relationship Id="rId4" Type="http://schemas.openxmlformats.org/officeDocument/2006/relationships/hyperlink" Target="https://www.sec.gov/Archives/edgar/data/1774857/000119312525021764/d882459dex41.htm" TargetMode="External"/><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72996</Words>
  <Characters>408651</Characters>
  <CharactersWithSpaces>481388</CharactersWithSpaces>
  <Paragraphs>5174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