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Zhang Zhongwei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127,061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127,061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in 36 equal installments on each monthly anniversary of the date of grant such that the shares subject to the option are fully vested on the third anniversary of the date of grant, subject to the Reporting Person's continuous service through each applicable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2235" TargetMode="External"/><Relationship Id="rId5" Type="http://schemas.openxmlformats.org/officeDocument/2006/relationships/hyperlink" Target="http://www.sec.gov/cgi-bin/browse-edgar?action=getcompany&amp;CIK=00017748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3399</Characters>
  <CharactersWithSpaces>3955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